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947A" w14:textId="7EB4D631" w:rsidR="00F36BB6" w:rsidRDefault="00C252FC" w:rsidP="00F36BB6">
      <w:pPr>
        <w:autoSpaceDE w:val="0"/>
        <w:autoSpaceDN w:val="0"/>
        <w:adjustRightInd w:val="0"/>
        <w:rPr>
          <w:rFonts w:ascii="Arial-BoldMT" w:hAnsi="Arial-BoldMT" w:cs="Arial-BoldMT"/>
          <w:b/>
          <w:bCs/>
          <w:color w:val="211556"/>
          <w:lang w:val="en-US" w:eastAsia="en-GB"/>
        </w:rPr>
      </w:pPr>
      <w:r w:rsidRPr="004E7026">
        <w:rPr>
          <w:rFonts w:ascii="Arial" w:hAnsi="Arial" w:cs="Arial"/>
        </w:rPr>
        <w:tab/>
      </w:r>
    </w:p>
    <w:p w14:paraId="4C783026" w14:textId="77777777" w:rsidR="00F36BB6" w:rsidRPr="00CE1AC1" w:rsidRDefault="00F36BB6" w:rsidP="00CE1AC1">
      <w:pPr>
        <w:autoSpaceDE w:val="0"/>
        <w:autoSpaceDN w:val="0"/>
        <w:adjustRightInd w:val="0"/>
        <w:rPr>
          <w:rFonts w:ascii="TrebuchetMS" w:hAnsi="TrebuchetMS" w:cs="TrebuchetMS"/>
          <w:color w:val="DB291C"/>
          <w:sz w:val="32"/>
          <w:szCs w:val="32"/>
          <w:lang w:val="en-US" w:eastAsia="en-GB"/>
        </w:rPr>
      </w:pPr>
      <w:r w:rsidRPr="00CE1AC1">
        <w:rPr>
          <w:rFonts w:ascii="TrebuchetMS" w:hAnsi="TrebuchetMS" w:cs="TrebuchetMS"/>
          <w:color w:val="DB291C"/>
          <w:sz w:val="32"/>
          <w:szCs w:val="32"/>
          <w:lang w:val="en-US" w:eastAsia="en-GB"/>
        </w:rPr>
        <w:t>1. Introduction</w:t>
      </w:r>
    </w:p>
    <w:p w14:paraId="45776FF4" w14:textId="76428375" w:rsidR="00F36BB6" w:rsidRDefault="00F36BB6" w:rsidP="00CE1AC1">
      <w:pPr>
        <w:autoSpaceDE w:val="0"/>
        <w:autoSpaceDN w:val="0"/>
        <w:adjustRightInd w:val="0"/>
        <w:jc w:val="both"/>
        <w:rPr>
          <w:rFonts w:ascii="Calibri" w:hAnsi="Calibri" w:cs="Calibri"/>
          <w:color w:val="000000"/>
          <w:lang w:val="en-US" w:eastAsia="en-GB"/>
        </w:rPr>
      </w:pPr>
      <w:r>
        <w:rPr>
          <w:rFonts w:ascii="Calibri" w:hAnsi="Calibri" w:cs="Calibri"/>
          <w:color w:val="000000"/>
          <w:lang w:val="en-US" w:eastAsia="en-GB"/>
        </w:rPr>
        <w:t>It is our responsibility to provide a safe place of work, to identify any risks or hazards, to put measures in place to minimize these and to ensure the safety of everyone concerned participating in a Northern Ireland Fencing (NIF) activity.</w:t>
      </w:r>
    </w:p>
    <w:p w14:paraId="70BA0B40" w14:textId="77777777" w:rsidR="00F36BB6" w:rsidRDefault="00F36BB6" w:rsidP="00CE1AC1">
      <w:pPr>
        <w:autoSpaceDE w:val="0"/>
        <w:autoSpaceDN w:val="0"/>
        <w:adjustRightInd w:val="0"/>
        <w:jc w:val="both"/>
        <w:rPr>
          <w:rFonts w:ascii="Calibri" w:hAnsi="Calibri" w:cs="Calibri"/>
          <w:color w:val="000000"/>
          <w:lang w:val="en-US" w:eastAsia="en-GB"/>
        </w:rPr>
      </w:pPr>
    </w:p>
    <w:p w14:paraId="120EB278" w14:textId="2C4E77E2" w:rsidR="00F36BB6" w:rsidRDefault="00F36BB6" w:rsidP="00CE1AC1">
      <w:pPr>
        <w:autoSpaceDE w:val="0"/>
        <w:autoSpaceDN w:val="0"/>
        <w:adjustRightInd w:val="0"/>
        <w:jc w:val="both"/>
        <w:rPr>
          <w:rFonts w:ascii="Calibri" w:hAnsi="Calibri" w:cs="Calibri"/>
          <w:color w:val="000000"/>
          <w:lang w:val="en-US" w:eastAsia="en-GB"/>
        </w:rPr>
      </w:pPr>
      <w:r>
        <w:rPr>
          <w:rFonts w:ascii="Calibri" w:hAnsi="Calibri" w:cs="Calibri"/>
          <w:color w:val="000000"/>
          <w:lang w:val="en-US" w:eastAsia="en-GB"/>
        </w:rPr>
        <w:t>This policy is not contractual but sets out how we plan to manage such issues.</w:t>
      </w:r>
    </w:p>
    <w:p w14:paraId="5959E6A7" w14:textId="77777777" w:rsidR="00F36BB6" w:rsidRDefault="00F36BB6" w:rsidP="00CE1AC1">
      <w:pPr>
        <w:autoSpaceDE w:val="0"/>
        <w:autoSpaceDN w:val="0"/>
        <w:adjustRightInd w:val="0"/>
        <w:jc w:val="both"/>
        <w:rPr>
          <w:rFonts w:ascii="Calibri" w:hAnsi="Calibri" w:cs="Calibri"/>
          <w:color w:val="000000"/>
          <w:lang w:val="en-US" w:eastAsia="en-GB"/>
        </w:rPr>
      </w:pPr>
    </w:p>
    <w:p w14:paraId="58E15C5D" w14:textId="77777777" w:rsidR="00F36BB6" w:rsidRPr="00CE1AC1" w:rsidRDefault="00F36BB6" w:rsidP="00CE1AC1">
      <w:pPr>
        <w:autoSpaceDE w:val="0"/>
        <w:autoSpaceDN w:val="0"/>
        <w:adjustRightInd w:val="0"/>
        <w:rPr>
          <w:rFonts w:ascii="TrebuchetMS" w:hAnsi="TrebuchetMS" w:cs="TrebuchetMS"/>
          <w:color w:val="DB291C"/>
          <w:sz w:val="32"/>
          <w:szCs w:val="32"/>
          <w:lang w:val="en-US" w:eastAsia="en-GB"/>
        </w:rPr>
      </w:pPr>
      <w:r w:rsidRPr="00CE1AC1">
        <w:rPr>
          <w:rFonts w:ascii="TrebuchetMS" w:hAnsi="TrebuchetMS" w:cs="TrebuchetMS"/>
          <w:color w:val="DB291C"/>
          <w:sz w:val="32"/>
          <w:szCs w:val="32"/>
          <w:lang w:val="en-US" w:eastAsia="en-GB"/>
        </w:rPr>
        <w:t>2. Aims of this Policy</w:t>
      </w:r>
    </w:p>
    <w:p w14:paraId="49940957" w14:textId="37836307" w:rsidR="00F36BB6" w:rsidRDefault="00F36BB6" w:rsidP="00CE1AC1">
      <w:pPr>
        <w:autoSpaceDE w:val="0"/>
        <w:autoSpaceDN w:val="0"/>
        <w:adjustRightInd w:val="0"/>
        <w:jc w:val="both"/>
        <w:rPr>
          <w:rFonts w:ascii="Calibri" w:hAnsi="Calibri" w:cs="Calibri"/>
          <w:color w:val="000000"/>
          <w:lang w:val="en-US" w:eastAsia="en-GB"/>
        </w:rPr>
      </w:pPr>
      <w:r w:rsidRPr="00F36BB6">
        <w:rPr>
          <w:rFonts w:ascii="Calibri" w:hAnsi="Calibri" w:cs="Calibri"/>
          <w:color w:val="000000"/>
          <w:lang w:val="en-US" w:eastAsia="en-GB"/>
        </w:rPr>
        <w:t>•</w:t>
      </w:r>
      <w:r>
        <w:rPr>
          <w:rFonts w:ascii="Calibri" w:hAnsi="Calibri" w:cs="Calibri"/>
          <w:color w:val="000000"/>
          <w:lang w:val="en-US" w:eastAsia="en-GB"/>
        </w:rPr>
        <w:t xml:space="preserve"> </w:t>
      </w:r>
      <w:r w:rsidRPr="00F36BB6">
        <w:rPr>
          <w:rFonts w:ascii="Calibri" w:hAnsi="Calibri" w:cs="Calibri"/>
          <w:color w:val="000000"/>
          <w:lang w:val="en-US" w:eastAsia="en-GB"/>
        </w:rPr>
        <w:t xml:space="preserve">to provide adequate control of the health and safety risks arising from our work activities; </w:t>
      </w:r>
    </w:p>
    <w:p w14:paraId="7318A3EF" w14:textId="77777777" w:rsidR="00F36BB6" w:rsidRDefault="00F36BB6" w:rsidP="00CE1AC1">
      <w:pPr>
        <w:autoSpaceDE w:val="0"/>
        <w:autoSpaceDN w:val="0"/>
        <w:adjustRightInd w:val="0"/>
        <w:jc w:val="both"/>
        <w:rPr>
          <w:rFonts w:ascii="Calibri" w:hAnsi="Calibri" w:cs="Calibri"/>
          <w:color w:val="000000"/>
          <w:lang w:val="en-US" w:eastAsia="en-GB"/>
        </w:rPr>
      </w:pPr>
      <w:r w:rsidRPr="00F36BB6">
        <w:rPr>
          <w:rFonts w:ascii="Calibri" w:hAnsi="Calibri" w:cs="Calibri"/>
          <w:color w:val="000000"/>
          <w:lang w:val="en-US" w:eastAsia="en-GB"/>
        </w:rPr>
        <w:t xml:space="preserve">• to consult with our employees on matters affecting their health and safety; </w:t>
      </w:r>
    </w:p>
    <w:p w14:paraId="119EB485" w14:textId="6CE3A7A5" w:rsidR="00F36BB6" w:rsidRDefault="00F36BB6" w:rsidP="00CE1AC1">
      <w:pPr>
        <w:autoSpaceDE w:val="0"/>
        <w:autoSpaceDN w:val="0"/>
        <w:adjustRightInd w:val="0"/>
        <w:jc w:val="both"/>
        <w:rPr>
          <w:rFonts w:ascii="Calibri" w:hAnsi="Calibri" w:cs="Calibri"/>
          <w:color w:val="000000"/>
          <w:lang w:val="en-US" w:eastAsia="en-GB"/>
        </w:rPr>
      </w:pPr>
      <w:r w:rsidRPr="00F36BB6">
        <w:rPr>
          <w:rFonts w:ascii="Calibri" w:hAnsi="Calibri" w:cs="Calibri"/>
          <w:color w:val="000000"/>
          <w:lang w:val="en-US" w:eastAsia="en-GB"/>
        </w:rPr>
        <w:t>• to provide and maintain safe equipment</w:t>
      </w:r>
      <w:r w:rsidR="0076090A">
        <w:rPr>
          <w:rFonts w:ascii="Calibri" w:hAnsi="Calibri" w:cs="Calibri"/>
          <w:color w:val="000000"/>
          <w:lang w:val="en-US" w:eastAsia="en-GB"/>
        </w:rPr>
        <w:t xml:space="preserve"> where issued</w:t>
      </w:r>
      <w:r w:rsidRPr="00F36BB6">
        <w:rPr>
          <w:rFonts w:ascii="Calibri" w:hAnsi="Calibri" w:cs="Calibri"/>
          <w:color w:val="000000"/>
          <w:lang w:val="en-US" w:eastAsia="en-GB"/>
        </w:rPr>
        <w:t xml:space="preserve">; </w:t>
      </w:r>
    </w:p>
    <w:p w14:paraId="1D4AED50" w14:textId="77777777" w:rsidR="00F36BB6" w:rsidRDefault="00F36BB6" w:rsidP="00CE1AC1">
      <w:pPr>
        <w:autoSpaceDE w:val="0"/>
        <w:autoSpaceDN w:val="0"/>
        <w:adjustRightInd w:val="0"/>
        <w:jc w:val="both"/>
        <w:rPr>
          <w:rFonts w:ascii="Calibri" w:hAnsi="Calibri" w:cs="Calibri"/>
          <w:color w:val="000000"/>
          <w:lang w:val="en-US" w:eastAsia="en-GB"/>
        </w:rPr>
      </w:pPr>
      <w:r w:rsidRPr="00F36BB6">
        <w:rPr>
          <w:rFonts w:ascii="Calibri" w:hAnsi="Calibri" w:cs="Calibri"/>
          <w:color w:val="000000"/>
          <w:lang w:val="en-US" w:eastAsia="en-GB"/>
        </w:rPr>
        <w:t xml:space="preserve">• to ensure safe handling and use of substances; </w:t>
      </w:r>
    </w:p>
    <w:p w14:paraId="43D52479" w14:textId="77777777" w:rsidR="00F36BB6" w:rsidRDefault="00F36BB6" w:rsidP="00CE1AC1">
      <w:pPr>
        <w:autoSpaceDE w:val="0"/>
        <w:autoSpaceDN w:val="0"/>
        <w:adjustRightInd w:val="0"/>
        <w:jc w:val="both"/>
        <w:rPr>
          <w:rFonts w:ascii="Calibri" w:hAnsi="Calibri" w:cs="Calibri"/>
          <w:color w:val="000000"/>
          <w:lang w:val="en-US" w:eastAsia="en-GB"/>
        </w:rPr>
      </w:pPr>
      <w:r w:rsidRPr="00F36BB6">
        <w:rPr>
          <w:rFonts w:ascii="Calibri" w:hAnsi="Calibri" w:cs="Calibri"/>
          <w:color w:val="000000"/>
          <w:lang w:val="en-US" w:eastAsia="en-GB"/>
        </w:rPr>
        <w:t xml:space="preserve">• to provide information, instruction and supervision for employees; </w:t>
      </w:r>
    </w:p>
    <w:p w14:paraId="095F4DFE" w14:textId="38AA3F13" w:rsidR="00F36BB6" w:rsidRDefault="00F36BB6" w:rsidP="00CE1AC1">
      <w:pPr>
        <w:autoSpaceDE w:val="0"/>
        <w:autoSpaceDN w:val="0"/>
        <w:adjustRightInd w:val="0"/>
        <w:jc w:val="both"/>
        <w:rPr>
          <w:rFonts w:ascii="Calibri" w:hAnsi="Calibri" w:cs="Calibri"/>
          <w:color w:val="000000"/>
          <w:lang w:val="en-US" w:eastAsia="en-GB"/>
        </w:rPr>
      </w:pPr>
      <w:r w:rsidRPr="00F36BB6">
        <w:rPr>
          <w:rFonts w:ascii="Calibri" w:hAnsi="Calibri" w:cs="Calibri"/>
          <w:color w:val="000000"/>
          <w:lang w:val="en-US" w:eastAsia="en-GB"/>
        </w:rPr>
        <w:t xml:space="preserve">• to ensure all employees are competent to do their tasks, and to give them adequate training; </w:t>
      </w:r>
    </w:p>
    <w:p w14:paraId="2E673860" w14:textId="77777777" w:rsidR="00F36BB6" w:rsidRDefault="00F36BB6" w:rsidP="00CE1AC1">
      <w:pPr>
        <w:autoSpaceDE w:val="0"/>
        <w:autoSpaceDN w:val="0"/>
        <w:adjustRightInd w:val="0"/>
        <w:jc w:val="both"/>
        <w:rPr>
          <w:rFonts w:ascii="Calibri" w:hAnsi="Calibri" w:cs="Calibri"/>
          <w:color w:val="000000"/>
          <w:lang w:val="en-US" w:eastAsia="en-GB"/>
        </w:rPr>
      </w:pPr>
      <w:r w:rsidRPr="00F36BB6">
        <w:rPr>
          <w:rFonts w:ascii="Calibri" w:hAnsi="Calibri" w:cs="Calibri"/>
          <w:color w:val="000000"/>
          <w:lang w:val="en-US" w:eastAsia="en-GB"/>
        </w:rPr>
        <w:t xml:space="preserve">• to prevent accidents and cases of work-related ill health; </w:t>
      </w:r>
    </w:p>
    <w:p w14:paraId="66D72A80" w14:textId="77777777" w:rsidR="00F36BB6" w:rsidRDefault="00F36BB6" w:rsidP="00CE1AC1">
      <w:pPr>
        <w:autoSpaceDE w:val="0"/>
        <w:autoSpaceDN w:val="0"/>
        <w:adjustRightInd w:val="0"/>
        <w:jc w:val="both"/>
        <w:rPr>
          <w:rFonts w:ascii="Calibri" w:hAnsi="Calibri" w:cs="Calibri"/>
          <w:color w:val="000000"/>
          <w:lang w:val="en-US" w:eastAsia="en-GB"/>
        </w:rPr>
      </w:pPr>
      <w:r w:rsidRPr="00F36BB6">
        <w:rPr>
          <w:rFonts w:ascii="Calibri" w:hAnsi="Calibri" w:cs="Calibri"/>
          <w:color w:val="000000"/>
          <w:lang w:val="en-US" w:eastAsia="en-GB"/>
        </w:rPr>
        <w:t xml:space="preserve">• to maintain safe and healthy working conditions; and </w:t>
      </w:r>
    </w:p>
    <w:p w14:paraId="400DF932" w14:textId="1355FD77" w:rsidR="00F36BB6" w:rsidRDefault="00F36BB6" w:rsidP="00CE1AC1">
      <w:pPr>
        <w:autoSpaceDE w:val="0"/>
        <w:autoSpaceDN w:val="0"/>
        <w:adjustRightInd w:val="0"/>
        <w:jc w:val="both"/>
        <w:rPr>
          <w:rFonts w:ascii="Calibri" w:hAnsi="Calibri" w:cs="Calibri"/>
          <w:color w:val="000000"/>
          <w:lang w:val="en-US" w:eastAsia="en-GB"/>
        </w:rPr>
      </w:pPr>
      <w:r w:rsidRPr="00F36BB6">
        <w:rPr>
          <w:rFonts w:ascii="Calibri" w:hAnsi="Calibri" w:cs="Calibri"/>
          <w:color w:val="000000"/>
          <w:lang w:val="en-US" w:eastAsia="en-GB"/>
        </w:rPr>
        <w:t>• to review and revise this policy as necessary at regular intervals.</w:t>
      </w:r>
    </w:p>
    <w:p w14:paraId="64E97899" w14:textId="77777777" w:rsidR="00F36BB6" w:rsidRDefault="00F36BB6" w:rsidP="00CE1AC1">
      <w:pPr>
        <w:autoSpaceDE w:val="0"/>
        <w:autoSpaceDN w:val="0"/>
        <w:adjustRightInd w:val="0"/>
        <w:jc w:val="both"/>
        <w:rPr>
          <w:rFonts w:ascii="Calibri" w:hAnsi="Calibri" w:cs="Calibri"/>
          <w:color w:val="000000"/>
          <w:lang w:val="en-US" w:eastAsia="en-GB"/>
        </w:rPr>
      </w:pPr>
    </w:p>
    <w:p w14:paraId="731DD1DF" w14:textId="77777777" w:rsidR="00F36BB6" w:rsidRPr="00CE1AC1" w:rsidRDefault="00F36BB6" w:rsidP="00CE1AC1">
      <w:pPr>
        <w:autoSpaceDE w:val="0"/>
        <w:autoSpaceDN w:val="0"/>
        <w:adjustRightInd w:val="0"/>
        <w:rPr>
          <w:rFonts w:ascii="TrebuchetMS" w:hAnsi="TrebuchetMS" w:cs="TrebuchetMS"/>
          <w:color w:val="DB291C"/>
          <w:sz w:val="32"/>
          <w:szCs w:val="32"/>
          <w:lang w:val="en-US" w:eastAsia="en-GB"/>
        </w:rPr>
      </w:pPr>
      <w:r w:rsidRPr="00CE1AC1">
        <w:rPr>
          <w:rFonts w:ascii="TrebuchetMS" w:hAnsi="TrebuchetMS" w:cs="TrebuchetMS"/>
          <w:color w:val="DB291C"/>
          <w:sz w:val="32"/>
          <w:szCs w:val="32"/>
          <w:lang w:val="en-US" w:eastAsia="en-GB"/>
        </w:rPr>
        <w:t>3. Legal considerations</w:t>
      </w:r>
    </w:p>
    <w:p w14:paraId="5A0948A1" w14:textId="77777777" w:rsidR="00F36BB6" w:rsidRDefault="00F36BB6" w:rsidP="00CE1AC1">
      <w:pPr>
        <w:autoSpaceDE w:val="0"/>
        <w:autoSpaceDN w:val="0"/>
        <w:adjustRightInd w:val="0"/>
        <w:jc w:val="both"/>
        <w:rPr>
          <w:rFonts w:ascii="Calibri" w:hAnsi="Calibri" w:cs="Calibri"/>
          <w:color w:val="000000"/>
          <w:lang w:val="en-US" w:eastAsia="en-GB"/>
        </w:rPr>
      </w:pPr>
      <w:r>
        <w:rPr>
          <w:rFonts w:ascii="Calibri" w:hAnsi="Calibri" w:cs="Calibri"/>
          <w:color w:val="000000"/>
          <w:lang w:val="en-US" w:eastAsia="en-GB"/>
        </w:rPr>
        <w:t>The following piece of legislation applies:</w:t>
      </w:r>
    </w:p>
    <w:p w14:paraId="313422A1" w14:textId="2EF170EB" w:rsidR="00F36BB6" w:rsidRDefault="00F36BB6" w:rsidP="00CE1AC1">
      <w:pPr>
        <w:autoSpaceDE w:val="0"/>
        <w:autoSpaceDN w:val="0"/>
        <w:adjustRightInd w:val="0"/>
        <w:jc w:val="both"/>
        <w:rPr>
          <w:rFonts w:ascii="Calibri" w:hAnsi="Calibri" w:cs="Calibri"/>
          <w:color w:val="000000"/>
          <w:lang w:val="en-US" w:eastAsia="en-GB"/>
        </w:rPr>
      </w:pPr>
      <w:r>
        <w:rPr>
          <w:rFonts w:ascii="Calibri" w:hAnsi="Calibri" w:cs="Calibri"/>
          <w:color w:val="000000"/>
          <w:lang w:val="en-US" w:eastAsia="en-GB"/>
        </w:rPr>
        <w:t xml:space="preserve">- </w:t>
      </w:r>
      <w:r w:rsidRPr="00F36BB6">
        <w:rPr>
          <w:rFonts w:ascii="Calibri" w:hAnsi="Calibri" w:cs="Calibri"/>
          <w:color w:val="000000"/>
          <w:lang w:val="en-US" w:eastAsia="en-GB"/>
        </w:rPr>
        <w:t>Health and Safety at Work (NI) Order 1978</w:t>
      </w:r>
      <w:r>
        <w:rPr>
          <w:rFonts w:ascii="Calibri" w:hAnsi="Calibri" w:cs="Calibri"/>
          <w:color w:val="000000"/>
          <w:lang w:val="en-US" w:eastAsia="en-GB"/>
        </w:rPr>
        <w:t>.</w:t>
      </w:r>
    </w:p>
    <w:p w14:paraId="7F85C34E" w14:textId="2651E831" w:rsidR="00297635" w:rsidRDefault="00297635" w:rsidP="00CE1AC1">
      <w:pPr>
        <w:autoSpaceDE w:val="0"/>
        <w:autoSpaceDN w:val="0"/>
        <w:adjustRightInd w:val="0"/>
        <w:jc w:val="both"/>
        <w:rPr>
          <w:rFonts w:ascii="Calibri" w:hAnsi="Calibri" w:cs="Calibri"/>
          <w:color w:val="000000"/>
          <w:lang w:val="en-US" w:eastAsia="en-GB"/>
        </w:rPr>
      </w:pPr>
      <w:r>
        <w:rPr>
          <w:rFonts w:ascii="Calibri" w:hAnsi="Calibri" w:cs="Calibri"/>
          <w:color w:val="000000"/>
          <w:lang w:val="en-US" w:eastAsia="en-GB"/>
        </w:rPr>
        <w:t xml:space="preserve">- </w:t>
      </w:r>
      <w:hyperlink r:id="rId8" w:tgtFrame="_blank" w:tooltip="external link opens in a new window / tab" w:history="1">
        <w:r w:rsidRPr="00297635">
          <w:rPr>
            <w:rFonts w:ascii="Calibri" w:hAnsi="Calibri" w:cs="Calibri"/>
            <w:color w:val="000000"/>
            <w:lang w:val="en-US" w:eastAsia="en-GB"/>
          </w:rPr>
          <w:t>The Management of Health and Safety at Work Regulations (Northern Ireland) 2000</w:t>
        </w:r>
      </w:hyperlink>
    </w:p>
    <w:p w14:paraId="381374BA" w14:textId="77777777" w:rsidR="0076090A" w:rsidRDefault="0076090A" w:rsidP="00CE1AC1">
      <w:pPr>
        <w:autoSpaceDE w:val="0"/>
        <w:autoSpaceDN w:val="0"/>
        <w:adjustRightInd w:val="0"/>
        <w:jc w:val="both"/>
        <w:rPr>
          <w:rFonts w:ascii="Calibri" w:hAnsi="Calibri" w:cs="Calibri"/>
          <w:color w:val="000000"/>
          <w:lang w:val="en-US" w:eastAsia="en-GB"/>
        </w:rPr>
      </w:pPr>
    </w:p>
    <w:p w14:paraId="382141AC" w14:textId="77777777" w:rsidR="00F36BB6" w:rsidRPr="00CE1AC1" w:rsidRDefault="00F36BB6" w:rsidP="00CE1AC1">
      <w:pPr>
        <w:autoSpaceDE w:val="0"/>
        <w:autoSpaceDN w:val="0"/>
        <w:adjustRightInd w:val="0"/>
        <w:rPr>
          <w:rFonts w:ascii="TrebuchetMS" w:hAnsi="TrebuchetMS" w:cs="TrebuchetMS"/>
          <w:color w:val="DB291C"/>
          <w:sz w:val="32"/>
          <w:szCs w:val="32"/>
          <w:lang w:val="en-US" w:eastAsia="en-GB"/>
        </w:rPr>
      </w:pPr>
      <w:r w:rsidRPr="00CE1AC1">
        <w:rPr>
          <w:rFonts w:ascii="TrebuchetMS" w:hAnsi="TrebuchetMS" w:cs="TrebuchetMS"/>
          <w:color w:val="DB291C"/>
          <w:sz w:val="32"/>
          <w:szCs w:val="32"/>
          <w:lang w:val="en-US" w:eastAsia="en-GB"/>
        </w:rPr>
        <w:t>4. Employees’ duties</w:t>
      </w:r>
    </w:p>
    <w:p w14:paraId="34B77EC1" w14:textId="63AA1416" w:rsidR="00F36BB6" w:rsidRDefault="00F36BB6" w:rsidP="00CE1AC1">
      <w:pPr>
        <w:autoSpaceDE w:val="0"/>
        <w:autoSpaceDN w:val="0"/>
        <w:adjustRightInd w:val="0"/>
        <w:jc w:val="both"/>
        <w:rPr>
          <w:rFonts w:ascii="Calibri" w:hAnsi="Calibri" w:cs="Calibri"/>
          <w:color w:val="000000"/>
          <w:lang w:val="en-US" w:eastAsia="en-GB"/>
        </w:rPr>
      </w:pPr>
      <w:r>
        <w:rPr>
          <w:rFonts w:ascii="Calibri" w:hAnsi="Calibri" w:cs="Calibri"/>
          <w:color w:val="000000"/>
          <w:lang w:val="en-US" w:eastAsia="en-GB"/>
        </w:rPr>
        <w:t>All employees have a duty to take reasonable steps to ensure that they do not place themselves or</w:t>
      </w:r>
      <w:r w:rsidR="0076090A">
        <w:rPr>
          <w:rFonts w:ascii="Calibri" w:hAnsi="Calibri" w:cs="Calibri"/>
          <w:color w:val="000000"/>
          <w:lang w:val="en-US" w:eastAsia="en-GB"/>
        </w:rPr>
        <w:t xml:space="preserve"> </w:t>
      </w:r>
      <w:r>
        <w:rPr>
          <w:rFonts w:ascii="Calibri" w:hAnsi="Calibri" w:cs="Calibri"/>
          <w:color w:val="000000"/>
          <w:lang w:val="en-US" w:eastAsia="en-GB"/>
        </w:rPr>
        <w:t>others at risk of harm. They are also expected to co-operate fully with us in complying with any</w:t>
      </w:r>
      <w:r w:rsidR="0076090A">
        <w:rPr>
          <w:rFonts w:ascii="Calibri" w:hAnsi="Calibri" w:cs="Calibri"/>
          <w:color w:val="000000"/>
          <w:lang w:val="en-US" w:eastAsia="en-GB"/>
        </w:rPr>
        <w:t xml:space="preserve"> </w:t>
      </w:r>
      <w:r>
        <w:rPr>
          <w:rFonts w:ascii="Calibri" w:hAnsi="Calibri" w:cs="Calibri"/>
          <w:color w:val="000000"/>
          <w:lang w:val="en-US" w:eastAsia="en-GB"/>
        </w:rPr>
        <w:t>procedures that we may introduce to protect the safety and well-being of our staff and visitors</w:t>
      </w:r>
      <w:r w:rsidR="0076090A">
        <w:rPr>
          <w:rFonts w:ascii="Calibri" w:hAnsi="Calibri" w:cs="Calibri"/>
          <w:color w:val="000000"/>
          <w:lang w:val="en-US" w:eastAsia="en-GB"/>
        </w:rPr>
        <w:t xml:space="preserve"> to any venue being used by Northern Ireland Fencing</w:t>
      </w:r>
      <w:r>
        <w:rPr>
          <w:rFonts w:ascii="Calibri" w:hAnsi="Calibri" w:cs="Calibri"/>
          <w:color w:val="000000"/>
          <w:lang w:val="en-US" w:eastAsia="en-GB"/>
        </w:rPr>
        <w:t>.</w:t>
      </w:r>
    </w:p>
    <w:p w14:paraId="0ED17500" w14:textId="77777777" w:rsidR="0076090A" w:rsidRDefault="0076090A" w:rsidP="00CE1AC1">
      <w:pPr>
        <w:autoSpaceDE w:val="0"/>
        <w:autoSpaceDN w:val="0"/>
        <w:adjustRightInd w:val="0"/>
        <w:jc w:val="both"/>
        <w:rPr>
          <w:rFonts w:ascii="Calibri" w:hAnsi="Calibri" w:cs="Calibri"/>
          <w:color w:val="000000"/>
          <w:lang w:val="en-US" w:eastAsia="en-GB"/>
        </w:rPr>
      </w:pPr>
    </w:p>
    <w:p w14:paraId="7E867864" w14:textId="14822EC9" w:rsidR="00F36BB6" w:rsidRDefault="00F36BB6" w:rsidP="00CE1AC1">
      <w:pPr>
        <w:autoSpaceDE w:val="0"/>
        <w:autoSpaceDN w:val="0"/>
        <w:adjustRightInd w:val="0"/>
        <w:jc w:val="both"/>
        <w:rPr>
          <w:rFonts w:ascii="Calibri" w:hAnsi="Calibri" w:cs="Calibri"/>
          <w:color w:val="000000"/>
          <w:lang w:val="en-US" w:eastAsia="en-GB"/>
        </w:rPr>
      </w:pPr>
      <w:r>
        <w:rPr>
          <w:rFonts w:ascii="Calibri" w:hAnsi="Calibri" w:cs="Calibri"/>
          <w:color w:val="000000"/>
          <w:lang w:val="en-US" w:eastAsia="en-GB"/>
        </w:rPr>
        <w:t>Failure to comply with this policy may be treated as a disciplinary matter.</w:t>
      </w:r>
    </w:p>
    <w:p w14:paraId="614987D2" w14:textId="77777777" w:rsidR="0076090A" w:rsidRDefault="0076090A" w:rsidP="00CE1AC1">
      <w:pPr>
        <w:autoSpaceDE w:val="0"/>
        <w:autoSpaceDN w:val="0"/>
        <w:adjustRightInd w:val="0"/>
        <w:jc w:val="both"/>
        <w:rPr>
          <w:rFonts w:ascii="Calibri" w:hAnsi="Calibri" w:cs="Calibri"/>
          <w:color w:val="000000"/>
          <w:lang w:val="en-US" w:eastAsia="en-GB"/>
        </w:rPr>
      </w:pPr>
    </w:p>
    <w:p w14:paraId="07C5A312" w14:textId="77777777" w:rsidR="00F36BB6" w:rsidRPr="00CE1AC1" w:rsidRDefault="00F36BB6" w:rsidP="00CE1AC1">
      <w:pPr>
        <w:autoSpaceDE w:val="0"/>
        <w:autoSpaceDN w:val="0"/>
        <w:adjustRightInd w:val="0"/>
        <w:rPr>
          <w:rFonts w:ascii="TrebuchetMS" w:hAnsi="TrebuchetMS" w:cs="TrebuchetMS"/>
          <w:color w:val="DB291C"/>
          <w:sz w:val="32"/>
          <w:szCs w:val="32"/>
          <w:lang w:val="en-US" w:eastAsia="en-GB"/>
        </w:rPr>
      </w:pPr>
      <w:r w:rsidRPr="00CE1AC1">
        <w:rPr>
          <w:rFonts w:ascii="TrebuchetMS" w:hAnsi="TrebuchetMS" w:cs="TrebuchetMS"/>
          <w:color w:val="DB291C"/>
          <w:sz w:val="32"/>
          <w:szCs w:val="32"/>
          <w:lang w:val="en-US" w:eastAsia="en-GB"/>
        </w:rPr>
        <w:t>5. Procedures</w:t>
      </w:r>
    </w:p>
    <w:p w14:paraId="440D9E10" w14:textId="68691C4A" w:rsidR="00F36BB6" w:rsidRDefault="00F36BB6" w:rsidP="00CE1AC1">
      <w:pPr>
        <w:autoSpaceDE w:val="0"/>
        <w:autoSpaceDN w:val="0"/>
        <w:adjustRightInd w:val="0"/>
        <w:jc w:val="both"/>
        <w:rPr>
          <w:rFonts w:ascii="Calibri" w:hAnsi="Calibri" w:cs="Calibri"/>
          <w:color w:val="000000"/>
          <w:lang w:val="en-US" w:eastAsia="en-GB"/>
        </w:rPr>
      </w:pPr>
      <w:r>
        <w:rPr>
          <w:rFonts w:ascii="Calibri" w:hAnsi="Calibri" w:cs="Calibri"/>
          <w:color w:val="000000"/>
          <w:lang w:val="en-US" w:eastAsia="en-GB"/>
        </w:rPr>
        <w:t>We have introduced the following procedures in order to maintain high standards of safety:</w:t>
      </w:r>
    </w:p>
    <w:p w14:paraId="7C56CCB7" w14:textId="5DEC75D9" w:rsidR="0076090A" w:rsidRPr="0031217B" w:rsidRDefault="00F36BB6" w:rsidP="00CE1AC1">
      <w:pPr>
        <w:autoSpaceDE w:val="0"/>
        <w:autoSpaceDN w:val="0"/>
        <w:adjustRightInd w:val="0"/>
        <w:jc w:val="both"/>
        <w:rPr>
          <w:rFonts w:ascii="Calibri" w:eastAsia="Calibri" w:hAnsi="Calibri" w:cs="Calibri"/>
          <w:color w:val="000000"/>
          <w:sz w:val="22"/>
          <w:szCs w:val="22"/>
          <w:lang w:val="en-US" w:eastAsia="en-GB"/>
        </w:rPr>
      </w:pPr>
      <w:r>
        <w:rPr>
          <w:rFonts w:ascii="SymbolMT" w:hAnsi="SymbolMT" w:cs="SymbolMT"/>
          <w:color w:val="000000"/>
          <w:lang w:val="en-US" w:eastAsia="en-GB"/>
        </w:rPr>
        <w:lastRenderedPageBreak/>
        <w:t>•</w:t>
      </w:r>
      <w:r w:rsidR="0076090A">
        <w:rPr>
          <w:rFonts w:ascii="SymbolMT" w:hAnsi="SymbolMT" w:cs="SymbolMT"/>
          <w:color w:val="000000"/>
          <w:lang w:val="en-US" w:eastAsia="en-GB"/>
        </w:rPr>
        <w:t xml:space="preserve"> </w:t>
      </w:r>
      <w:r w:rsidR="00787325">
        <w:rPr>
          <w:rFonts w:ascii="SymbolMT" w:hAnsi="SymbolMT" w:cs="SymbolMT"/>
          <w:color w:val="000000"/>
          <w:lang w:val="en-US" w:eastAsia="en-GB"/>
        </w:rPr>
        <w:t xml:space="preserve">   </w:t>
      </w:r>
      <w:r w:rsidR="0076090A" w:rsidRPr="0031217B">
        <w:rPr>
          <w:rFonts w:ascii="Calibri" w:eastAsia="Calibri" w:hAnsi="Calibri" w:cs="Calibri"/>
          <w:color w:val="000000"/>
          <w:sz w:val="22"/>
          <w:szCs w:val="22"/>
          <w:lang w:val="en-US" w:eastAsia="en-GB"/>
        </w:rPr>
        <w:t xml:space="preserve">Any employee who is using personal transport for their employment must have a Driving </w:t>
      </w:r>
      <w:r w:rsidR="0031217B">
        <w:rPr>
          <w:rFonts w:ascii="Calibri" w:eastAsia="Calibri" w:hAnsi="Calibri" w:cs="Calibri"/>
          <w:color w:val="000000"/>
          <w:sz w:val="22"/>
          <w:szCs w:val="22"/>
          <w:lang w:val="en-US" w:eastAsia="en-GB"/>
        </w:rPr>
        <w:t xml:space="preserve">     </w:t>
      </w:r>
      <w:proofErr w:type="spellStart"/>
      <w:r w:rsidR="0076090A" w:rsidRPr="0031217B">
        <w:rPr>
          <w:rFonts w:ascii="Calibri" w:eastAsia="Calibri" w:hAnsi="Calibri" w:cs="Calibri"/>
          <w:color w:val="000000"/>
          <w:sz w:val="22"/>
          <w:szCs w:val="22"/>
          <w:lang w:val="en-US" w:eastAsia="en-GB"/>
        </w:rPr>
        <w:t>Licence</w:t>
      </w:r>
      <w:proofErr w:type="spellEnd"/>
      <w:r w:rsidR="0076090A" w:rsidRPr="0031217B">
        <w:rPr>
          <w:rFonts w:ascii="Calibri" w:eastAsia="Calibri" w:hAnsi="Calibri" w:cs="Calibri"/>
          <w:color w:val="000000"/>
          <w:sz w:val="22"/>
          <w:szCs w:val="22"/>
          <w:lang w:val="en-US" w:eastAsia="en-GB"/>
        </w:rPr>
        <w:t xml:space="preserve"> and Insurance to cover the vehicle used and for the purpose used i.e. Insurance for personal business use.</w:t>
      </w:r>
    </w:p>
    <w:p w14:paraId="50C18286" w14:textId="7E187B9F" w:rsidR="0076090A" w:rsidRPr="00921589" w:rsidRDefault="0076090A" w:rsidP="00CE1AC1">
      <w:pPr>
        <w:pStyle w:val="ListParagraph"/>
        <w:numPr>
          <w:ilvl w:val="0"/>
          <w:numId w:val="5"/>
        </w:numPr>
        <w:autoSpaceDE w:val="0"/>
        <w:autoSpaceDN w:val="0"/>
        <w:adjustRightInd w:val="0"/>
        <w:jc w:val="both"/>
        <w:rPr>
          <w:color w:val="000000"/>
          <w:lang w:val="en-US"/>
        </w:rPr>
      </w:pPr>
      <w:r w:rsidRPr="00921589">
        <w:rPr>
          <w:color w:val="000000"/>
          <w:lang w:val="en-US"/>
        </w:rPr>
        <w:t>The vehicle must be roadworthy and if required have a valid MOT and be taxed for road use</w:t>
      </w:r>
      <w:r w:rsidR="00921589" w:rsidRPr="00921589">
        <w:rPr>
          <w:color w:val="000000"/>
          <w:lang w:val="en-US"/>
        </w:rPr>
        <w:t>.</w:t>
      </w:r>
    </w:p>
    <w:p w14:paraId="0C4B787A" w14:textId="75504040" w:rsidR="00921589" w:rsidRDefault="00921589" w:rsidP="00CE1AC1">
      <w:pPr>
        <w:pStyle w:val="ListParagraph"/>
        <w:numPr>
          <w:ilvl w:val="0"/>
          <w:numId w:val="5"/>
        </w:numPr>
        <w:autoSpaceDE w:val="0"/>
        <w:autoSpaceDN w:val="0"/>
        <w:adjustRightInd w:val="0"/>
        <w:jc w:val="both"/>
        <w:rPr>
          <w:color w:val="000000"/>
          <w:lang w:val="en-US"/>
        </w:rPr>
      </w:pPr>
      <w:r w:rsidRPr="00921589">
        <w:rPr>
          <w:color w:val="000000"/>
          <w:lang w:val="en-US"/>
        </w:rPr>
        <w:t xml:space="preserve">The employee must at all times comply with the current NI legislation on road use. Failure to do so may be a disciplinary issue as well as a legal one. Any prosecutions including receipt of a fixed penalty notice must be reported to the MD who will treat the matter in strict confidence but will if necessary, refer to other members of the NIF Board if required. </w:t>
      </w:r>
    </w:p>
    <w:p w14:paraId="22BDCC84" w14:textId="63D2E876" w:rsidR="00A94CAF" w:rsidRDefault="00A94CAF" w:rsidP="00CE1AC1">
      <w:pPr>
        <w:pStyle w:val="ListParagraph"/>
        <w:numPr>
          <w:ilvl w:val="0"/>
          <w:numId w:val="5"/>
        </w:numPr>
        <w:autoSpaceDE w:val="0"/>
        <w:autoSpaceDN w:val="0"/>
        <w:adjustRightInd w:val="0"/>
        <w:jc w:val="both"/>
        <w:rPr>
          <w:color w:val="000000"/>
          <w:lang w:val="en-US"/>
        </w:rPr>
      </w:pPr>
      <w:r>
        <w:rPr>
          <w:color w:val="000000"/>
          <w:lang w:val="en-US"/>
        </w:rPr>
        <w:t>NIF does not own or rent any premises and out activities are generally in</w:t>
      </w:r>
      <w:r w:rsidR="001D0027">
        <w:rPr>
          <w:color w:val="000000"/>
          <w:lang w:val="en-US"/>
        </w:rPr>
        <w:t xml:space="preserve"> premises owned and managed by external parties. As such the generic risk assessments of those buildings generally suffice. This however does not remove the responsibility from the NIF representatives using these premises to complete a dynamic risk assessment of the premises to ensure there are no obvious risks from the building being inappropriately maintained or the equipment used by NIF introduces a risk</w:t>
      </w:r>
      <w:r w:rsidR="006B6AD2">
        <w:rPr>
          <w:color w:val="000000"/>
          <w:lang w:val="en-US"/>
        </w:rPr>
        <w:t xml:space="preserve"> such as badly placed or unsecured cables.</w:t>
      </w:r>
    </w:p>
    <w:p w14:paraId="70F74704" w14:textId="77777777" w:rsidR="00CE1AC1" w:rsidRPr="00CE1AC1" w:rsidRDefault="00CE1AC1" w:rsidP="00CE1AC1">
      <w:pPr>
        <w:pStyle w:val="ListParagraph"/>
        <w:numPr>
          <w:ilvl w:val="1"/>
          <w:numId w:val="5"/>
        </w:numPr>
        <w:autoSpaceDE w:val="0"/>
        <w:autoSpaceDN w:val="0"/>
        <w:adjustRightInd w:val="0"/>
        <w:jc w:val="both"/>
        <w:rPr>
          <w:color w:val="000000"/>
          <w:lang w:val="en-US"/>
        </w:rPr>
      </w:pPr>
      <w:r w:rsidRPr="00CE1AC1">
        <w:rPr>
          <w:color w:val="000000"/>
          <w:lang w:val="en-US"/>
        </w:rPr>
        <w:t xml:space="preserve">Step 1 Identify the hazards </w:t>
      </w:r>
    </w:p>
    <w:p w14:paraId="596C5D63" w14:textId="77777777" w:rsidR="00CE1AC1" w:rsidRPr="00CE1AC1" w:rsidRDefault="00CE1AC1" w:rsidP="00CE1AC1">
      <w:pPr>
        <w:pStyle w:val="ListParagraph"/>
        <w:numPr>
          <w:ilvl w:val="1"/>
          <w:numId w:val="5"/>
        </w:numPr>
        <w:autoSpaceDE w:val="0"/>
        <w:autoSpaceDN w:val="0"/>
        <w:adjustRightInd w:val="0"/>
        <w:jc w:val="both"/>
        <w:rPr>
          <w:color w:val="000000"/>
          <w:lang w:val="en-US"/>
        </w:rPr>
      </w:pPr>
      <w:r w:rsidRPr="00CE1AC1">
        <w:rPr>
          <w:color w:val="000000"/>
          <w:lang w:val="en-US"/>
        </w:rPr>
        <w:t xml:space="preserve">Step 2 Decide who might be harmed and how </w:t>
      </w:r>
    </w:p>
    <w:p w14:paraId="2D477F66" w14:textId="77777777" w:rsidR="00CE1AC1" w:rsidRPr="00CE1AC1" w:rsidRDefault="00CE1AC1" w:rsidP="00CE1AC1">
      <w:pPr>
        <w:pStyle w:val="ListParagraph"/>
        <w:numPr>
          <w:ilvl w:val="1"/>
          <w:numId w:val="5"/>
        </w:numPr>
        <w:autoSpaceDE w:val="0"/>
        <w:autoSpaceDN w:val="0"/>
        <w:adjustRightInd w:val="0"/>
        <w:jc w:val="both"/>
        <w:rPr>
          <w:color w:val="000000"/>
          <w:lang w:val="en-US"/>
        </w:rPr>
      </w:pPr>
      <w:r w:rsidRPr="00CE1AC1">
        <w:rPr>
          <w:color w:val="000000"/>
          <w:lang w:val="en-US"/>
        </w:rPr>
        <w:t xml:space="preserve">Step 3 Evaluate the risks and decide on precautions </w:t>
      </w:r>
    </w:p>
    <w:p w14:paraId="2AEF3D21" w14:textId="77777777" w:rsidR="00CE1AC1" w:rsidRPr="00CE1AC1" w:rsidRDefault="00CE1AC1" w:rsidP="00CE1AC1">
      <w:pPr>
        <w:pStyle w:val="ListParagraph"/>
        <w:numPr>
          <w:ilvl w:val="1"/>
          <w:numId w:val="5"/>
        </w:numPr>
        <w:autoSpaceDE w:val="0"/>
        <w:autoSpaceDN w:val="0"/>
        <w:adjustRightInd w:val="0"/>
        <w:jc w:val="both"/>
        <w:rPr>
          <w:color w:val="000000"/>
          <w:lang w:val="en-US"/>
        </w:rPr>
      </w:pPr>
      <w:r w:rsidRPr="00CE1AC1">
        <w:rPr>
          <w:color w:val="000000"/>
          <w:lang w:val="en-US"/>
        </w:rPr>
        <w:t xml:space="preserve">Step 4 Record your findings and implement them </w:t>
      </w:r>
    </w:p>
    <w:p w14:paraId="2D2CD0EF" w14:textId="6AF91977" w:rsidR="00CE1AC1" w:rsidRDefault="00CE1AC1" w:rsidP="00CE1AC1">
      <w:pPr>
        <w:pStyle w:val="ListParagraph"/>
        <w:numPr>
          <w:ilvl w:val="1"/>
          <w:numId w:val="5"/>
        </w:numPr>
        <w:autoSpaceDE w:val="0"/>
        <w:autoSpaceDN w:val="0"/>
        <w:adjustRightInd w:val="0"/>
        <w:jc w:val="both"/>
        <w:rPr>
          <w:color w:val="000000"/>
          <w:lang w:val="en-US"/>
        </w:rPr>
      </w:pPr>
      <w:r w:rsidRPr="00CE1AC1">
        <w:rPr>
          <w:color w:val="000000"/>
          <w:lang w:val="en-US"/>
        </w:rPr>
        <w:t>Step 5 Review your assessment and update if necessary</w:t>
      </w:r>
    </w:p>
    <w:p w14:paraId="7152D959" w14:textId="7143FEF6" w:rsidR="00CE1AC1" w:rsidRDefault="00CE1AC1" w:rsidP="00CE1AC1">
      <w:pPr>
        <w:autoSpaceDE w:val="0"/>
        <w:autoSpaceDN w:val="0"/>
        <w:adjustRightInd w:val="0"/>
        <w:rPr>
          <w:color w:val="000000"/>
          <w:lang w:val="en-US"/>
        </w:rPr>
      </w:pPr>
      <w:r w:rsidRPr="00CE1AC1">
        <w:rPr>
          <w:rFonts w:asciiTheme="minorHAnsi" w:hAnsiTheme="minorHAnsi" w:cstheme="minorHAnsi"/>
          <w:color w:val="000000"/>
          <w:sz w:val="22"/>
          <w:szCs w:val="22"/>
          <w:lang w:val="en-US"/>
        </w:rPr>
        <w:t>More information can be found at</w:t>
      </w:r>
      <w:r>
        <w:rPr>
          <w:rFonts w:asciiTheme="minorHAnsi" w:hAnsiTheme="minorHAnsi" w:cstheme="minorHAnsi"/>
          <w:color w:val="000000"/>
          <w:sz w:val="22"/>
          <w:szCs w:val="22"/>
          <w:lang w:val="en-US"/>
        </w:rPr>
        <w:t>:</w:t>
      </w:r>
      <w:r>
        <w:rPr>
          <w:color w:val="000000"/>
          <w:lang w:val="en-US"/>
        </w:rPr>
        <w:t xml:space="preserve"> </w:t>
      </w:r>
      <w:hyperlink r:id="rId9" w:history="1">
        <w:r w:rsidRPr="006269E5">
          <w:rPr>
            <w:rStyle w:val="Hyperlink"/>
            <w:lang w:val="en-US"/>
          </w:rPr>
          <w:t>https://www.hseni.gov.uk/sites/hseni.gov.uk/files/publications/%5Bcurrent-domain%3Amachine-name%5D/five-steps-to-risk-assessment-2017.pdf</w:t>
        </w:r>
      </w:hyperlink>
    </w:p>
    <w:p w14:paraId="516FE9A3" w14:textId="77777777" w:rsidR="00CE1AC1" w:rsidRPr="00CE1AC1" w:rsidRDefault="00CE1AC1" w:rsidP="00CE1AC1">
      <w:pPr>
        <w:autoSpaceDE w:val="0"/>
        <w:autoSpaceDN w:val="0"/>
        <w:adjustRightInd w:val="0"/>
        <w:jc w:val="both"/>
        <w:rPr>
          <w:color w:val="000000"/>
          <w:lang w:val="en-US"/>
        </w:rPr>
      </w:pPr>
    </w:p>
    <w:p w14:paraId="7A5B246F" w14:textId="14F15146" w:rsidR="006B6AD2" w:rsidRDefault="006B6AD2" w:rsidP="00CE1AC1">
      <w:pPr>
        <w:pStyle w:val="ListParagraph"/>
        <w:numPr>
          <w:ilvl w:val="0"/>
          <w:numId w:val="5"/>
        </w:numPr>
        <w:autoSpaceDE w:val="0"/>
        <w:autoSpaceDN w:val="0"/>
        <w:adjustRightInd w:val="0"/>
        <w:jc w:val="both"/>
        <w:rPr>
          <w:color w:val="000000"/>
          <w:lang w:val="en-US"/>
        </w:rPr>
      </w:pPr>
      <w:r>
        <w:rPr>
          <w:color w:val="000000"/>
          <w:lang w:val="en-US"/>
        </w:rPr>
        <w:t>All NIF personnel will on entry to premises being used for NIF purposes familiarize themselves with emergency exits and ensure all persons there on NIF business are aware of the emergency routes out. They will also ensure that they can account for everyone using the premises for NIF purposes both before and after any evacuation procedure whether as part of a planned test or an actual emergency.</w:t>
      </w:r>
    </w:p>
    <w:p w14:paraId="08C7A4A7" w14:textId="56C62B4E" w:rsidR="006B6AD2" w:rsidRDefault="006B6AD2" w:rsidP="00CE1AC1">
      <w:pPr>
        <w:pStyle w:val="ListParagraph"/>
        <w:numPr>
          <w:ilvl w:val="0"/>
          <w:numId w:val="5"/>
        </w:numPr>
        <w:autoSpaceDE w:val="0"/>
        <w:autoSpaceDN w:val="0"/>
        <w:adjustRightInd w:val="0"/>
        <w:jc w:val="both"/>
        <w:rPr>
          <w:color w:val="000000"/>
          <w:lang w:val="en-US"/>
        </w:rPr>
      </w:pPr>
      <w:r>
        <w:rPr>
          <w:color w:val="000000"/>
          <w:lang w:val="en-US"/>
        </w:rPr>
        <w:t xml:space="preserve">Where issues with the building are noted it is the duty of the NIF personnel present to alert the building supervisors. </w:t>
      </w:r>
      <w:r w:rsidR="0031217B">
        <w:rPr>
          <w:color w:val="000000"/>
          <w:lang w:val="en-US"/>
        </w:rPr>
        <w:t>This duty should not prevent personnel taking immediate safety action to mitigate any risk, if the danger is imminent.</w:t>
      </w:r>
    </w:p>
    <w:p w14:paraId="32C1A648" w14:textId="450EA350" w:rsidR="0031217B" w:rsidRDefault="0031217B" w:rsidP="00CE1AC1">
      <w:pPr>
        <w:pStyle w:val="ListParagraph"/>
        <w:numPr>
          <w:ilvl w:val="0"/>
          <w:numId w:val="5"/>
        </w:numPr>
        <w:autoSpaceDE w:val="0"/>
        <w:autoSpaceDN w:val="0"/>
        <w:adjustRightInd w:val="0"/>
        <w:jc w:val="both"/>
        <w:rPr>
          <w:color w:val="000000"/>
          <w:lang w:val="en-US"/>
        </w:rPr>
      </w:pPr>
      <w:r>
        <w:rPr>
          <w:color w:val="000000"/>
          <w:lang w:val="en-US"/>
        </w:rPr>
        <w:t>Where the risk is from activity of the NIF function using the building, NIF personnel will ensure that any risk is mitigated to an acceptable level. An acceptable level is one that the NIF personnel believe acceptable based on their experience</w:t>
      </w:r>
      <w:r w:rsidR="005F3C48">
        <w:rPr>
          <w:color w:val="000000"/>
          <w:lang w:val="en-US"/>
        </w:rPr>
        <w:t xml:space="preserve"> and assessed as green on the below </w:t>
      </w:r>
      <w:r w:rsidR="005F3C48" w:rsidRPr="005F3C48">
        <w:rPr>
          <w:b/>
          <w:bCs/>
          <w:color w:val="000000"/>
          <w:lang w:val="en-US"/>
        </w:rPr>
        <w:t>Matrix 1</w:t>
      </w:r>
      <w:r>
        <w:rPr>
          <w:color w:val="000000"/>
          <w:lang w:val="en-US"/>
        </w:rPr>
        <w:t>.</w:t>
      </w:r>
    </w:p>
    <w:p w14:paraId="1074E732" w14:textId="5ADB8F1A" w:rsidR="0031217B" w:rsidRDefault="0031217B" w:rsidP="00CE1AC1">
      <w:pPr>
        <w:pStyle w:val="ListParagraph"/>
        <w:numPr>
          <w:ilvl w:val="0"/>
          <w:numId w:val="5"/>
        </w:numPr>
        <w:autoSpaceDE w:val="0"/>
        <w:autoSpaceDN w:val="0"/>
        <w:adjustRightInd w:val="0"/>
        <w:jc w:val="both"/>
        <w:rPr>
          <w:color w:val="000000"/>
          <w:lang w:val="en-US"/>
        </w:rPr>
      </w:pPr>
      <w:r>
        <w:rPr>
          <w:color w:val="000000"/>
          <w:lang w:val="en-US"/>
        </w:rPr>
        <w:t>NIF personnel shall ensure that any activity is covered by sufficient insurance for the event. British Fencing insurance cover for events has public liability of £10m and is deemed sufficient for any competition run by NIF. Coaching events will also require insurance cover and this is down to the individual coach to</w:t>
      </w:r>
      <w:r w:rsidR="00CE1AC1">
        <w:rPr>
          <w:color w:val="000000"/>
          <w:lang w:val="en-US"/>
        </w:rPr>
        <w:t xml:space="preserve"> provide.</w:t>
      </w:r>
    </w:p>
    <w:p w14:paraId="340DCBD6" w14:textId="5A169FE1" w:rsidR="005F3C48" w:rsidRPr="005F3C48" w:rsidRDefault="005F3C48" w:rsidP="005F3C48">
      <w:pPr>
        <w:autoSpaceDE w:val="0"/>
        <w:autoSpaceDN w:val="0"/>
        <w:adjustRightInd w:val="0"/>
        <w:jc w:val="both"/>
        <w:rPr>
          <w:rFonts w:asciiTheme="minorHAnsi" w:hAnsiTheme="minorHAnsi" w:cstheme="minorHAnsi"/>
          <w:b/>
          <w:bCs/>
          <w:color w:val="000000"/>
          <w:lang w:val="en-US"/>
        </w:rPr>
      </w:pPr>
      <w:r w:rsidRPr="005F3C48">
        <w:rPr>
          <w:rFonts w:asciiTheme="minorHAnsi" w:hAnsiTheme="minorHAnsi" w:cstheme="minorHAnsi"/>
          <w:b/>
          <w:bCs/>
          <w:color w:val="000000"/>
          <w:lang w:val="en-US"/>
        </w:rPr>
        <w:t>Matrix 1</w:t>
      </w:r>
    </w:p>
    <w:p w14:paraId="69515A1A" w14:textId="047E24FA" w:rsidR="005F3C48" w:rsidRPr="005F3C48" w:rsidRDefault="005F3C48" w:rsidP="005F3C48">
      <w:pPr>
        <w:autoSpaceDE w:val="0"/>
        <w:autoSpaceDN w:val="0"/>
        <w:adjustRightInd w:val="0"/>
        <w:jc w:val="both"/>
        <w:rPr>
          <w:color w:val="000000"/>
          <w:lang w:val="en-US"/>
        </w:rPr>
      </w:pPr>
      <w:r w:rsidRPr="005F3C48">
        <w:rPr>
          <w:noProof/>
        </w:rPr>
        <w:lastRenderedPageBreak/>
        <w:drawing>
          <wp:inline distT="0" distB="0" distL="0" distR="0" wp14:anchorId="765D4CD4" wp14:editId="5BEAD433">
            <wp:extent cx="5274310" cy="25742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574290"/>
                    </a:xfrm>
                    <a:prstGeom prst="rect">
                      <a:avLst/>
                    </a:prstGeom>
                  </pic:spPr>
                </pic:pic>
              </a:graphicData>
            </a:graphic>
          </wp:inline>
        </w:drawing>
      </w:r>
    </w:p>
    <w:p w14:paraId="7DF3C7BB" w14:textId="0E542CC3" w:rsidR="00CE1AC1" w:rsidRPr="00CE1AC1" w:rsidRDefault="00CE1AC1" w:rsidP="00CE1AC1">
      <w:pPr>
        <w:autoSpaceDE w:val="0"/>
        <w:autoSpaceDN w:val="0"/>
        <w:adjustRightInd w:val="0"/>
        <w:jc w:val="both"/>
        <w:rPr>
          <w:rFonts w:ascii="TrebuchetMS" w:hAnsi="TrebuchetMS" w:cs="TrebuchetMS"/>
          <w:color w:val="DB291C"/>
          <w:sz w:val="32"/>
          <w:szCs w:val="32"/>
          <w:lang w:val="en-US"/>
        </w:rPr>
      </w:pPr>
      <w:r>
        <w:rPr>
          <w:rFonts w:ascii="TrebuchetMS" w:hAnsi="TrebuchetMS" w:cs="TrebuchetMS"/>
          <w:color w:val="DB291C"/>
          <w:sz w:val="32"/>
          <w:szCs w:val="32"/>
          <w:lang w:val="en-US"/>
        </w:rPr>
        <w:t xml:space="preserve">6. </w:t>
      </w:r>
      <w:r w:rsidRPr="00CE1AC1">
        <w:rPr>
          <w:rFonts w:ascii="TrebuchetMS" w:hAnsi="TrebuchetMS" w:cs="TrebuchetMS"/>
          <w:color w:val="DB291C"/>
          <w:sz w:val="32"/>
          <w:szCs w:val="32"/>
          <w:lang w:val="en-US"/>
        </w:rPr>
        <w:t>Implementation, monitoring and review of this procedure</w:t>
      </w:r>
    </w:p>
    <w:p w14:paraId="0C424ED1" w14:textId="58D2863D" w:rsidR="00CE1AC1" w:rsidRPr="00CE1AC1" w:rsidRDefault="00CE1AC1" w:rsidP="00CE1AC1">
      <w:pPr>
        <w:autoSpaceDE w:val="0"/>
        <w:autoSpaceDN w:val="0"/>
        <w:adjustRightInd w:val="0"/>
        <w:jc w:val="both"/>
        <w:rPr>
          <w:rFonts w:ascii="Calibri" w:hAnsi="Calibri" w:cs="Calibri"/>
          <w:color w:val="000000"/>
          <w:lang w:val="en-US" w:eastAsia="en-GB"/>
        </w:rPr>
      </w:pPr>
      <w:r w:rsidRPr="00CE1AC1">
        <w:rPr>
          <w:rFonts w:ascii="Calibri" w:hAnsi="Calibri" w:cs="Calibri"/>
          <w:color w:val="000000"/>
          <w:lang w:val="en-US" w:eastAsia="en-GB"/>
        </w:rPr>
        <w:t xml:space="preserve">This procedure will take effect from 1st </w:t>
      </w:r>
      <w:r w:rsidR="002F2FA8">
        <w:rPr>
          <w:rFonts w:ascii="Calibri" w:hAnsi="Calibri" w:cs="Calibri"/>
          <w:color w:val="000000"/>
          <w:lang w:val="en-US" w:eastAsia="en-GB"/>
        </w:rPr>
        <w:t>March 2020</w:t>
      </w:r>
      <w:r w:rsidRPr="00CE1AC1">
        <w:rPr>
          <w:rFonts w:ascii="Calibri" w:hAnsi="Calibri" w:cs="Calibri"/>
          <w:color w:val="000000"/>
          <w:lang w:val="en-US" w:eastAsia="en-GB"/>
        </w:rPr>
        <w:t>. The NIF Board has overall responsibility for implementing and monitoring this procedure, which will be reviewed on a regular basis following its implementation (at least annually) and additionally whenever there are relevant changes in legislation or to our working practices.</w:t>
      </w:r>
    </w:p>
    <w:p w14:paraId="66D66165" w14:textId="77777777" w:rsidR="00CE1AC1" w:rsidRPr="00CE1AC1" w:rsidRDefault="00CE1AC1" w:rsidP="00CE1AC1">
      <w:pPr>
        <w:autoSpaceDE w:val="0"/>
        <w:autoSpaceDN w:val="0"/>
        <w:adjustRightInd w:val="0"/>
        <w:jc w:val="both"/>
        <w:rPr>
          <w:rFonts w:ascii="Calibri" w:hAnsi="Calibri" w:cs="Calibri"/>
          <w:color w:val="000000"/>
          <w:lang w:val="en-US" w:eastAsia="en-GB"/>
        </w:rPr>
      </w:pPr>
    </w:p>
    <w:p w14:paraId="78899B2B" w14:textId="34F48EAA" w:rsidR="00CE1AC1" w:rsidRDefault="00CE1AC1" w:rsidP="00CE1AC1">
      <w:pPr>
        <w:autoSpaceDE w:val="0"/>
        <w:autoSpaceDN w:val="0"/>
        <w:adjustRightInd w:val="0"/>
        <w:jc w:val="both"/>
        <w:rPr>
          <w:rFonts w:ascii="Calibri" w:hAnsi="Calibri" w:cs="Calibri"/>
          <w:color w:val="000000"/>
          <w:lang w:val="en-US" w:eastAsia="en-GB"/>
        </w:rPr>
      </w:pPr>
      <w:r w:rsidRPr="00CE1AC1">
        <w:rPr>
          <w:rFonts w:ascii="Calibri" w:hAnsi="Calibri" w:cs="Calibri"/>
          <w:color w:val="000000"/>
          <w:lang w:val="en-US" w:eastAsia="en-GB"/>
        </w:rPr>
        <w:t>Any queries or comments about this procedure should be addressed to the MD.</w:t>
      </w:r>
      <w:r w:rsidRPr="00CE1AC1">
        <w:rPr>
          <w:rFonts w:ascii="Calibri" w:hAnsi="Calibri" w:cs="Calibri"/>
          <w:color w:val="000000"/>
          <w:lang w:val="en-US" w:eastAsia="en-GB"/>
        </w:rPr>
        <w:tab/>
      </w:r>
    </w:p>
    <w:p w14:paraId="2511CEED" w14:textId="373C124B" w:rsidR="005F3C48" w:rsidRPr="005F3C48" w:rsidRDefault="005F3C48" w:rsidP="005F3C48">
      <w:pPr>
        <w:rPr>
          <w:rFonts w:ascii="Calibri" w:hAnsi="Calibri" w:cs="Calibri"/>
          <w:lang w:val="en-US" w:eastAsia="en-GB"/>
        </w:rPr>
      </w:pPr>
    </w:p>
    <w:p w14:paraId="1696A9EE" w14:textId="2D01CB68" w:rsidR="005F3C48" w:rsidRDefault="005F3C48" w:rsidP="005F3C48">
      <w:pPr>
        <w:rPr>
          <w:rFonts w:ascii="Calibri" w:hAnsi="Calibri" w:cs="Calibri"/>
          <w:color w:val="000000"/>
          <w:lang w:val="en-US" w:eastAsia="en-GB"/>
        </w:rPr>
      </w:pPr>
    </w:p>
    <w:p w14:paraId="38E5143F" w14:textId="53E01DFF" w:rsidR="005F3C48" w:rsidRPr="005F3C48" w:rsidRDefault="005F3C48" w:rsidP="005F3C48">
      <w:pPr>
        <w:rPr>
          <w:rFonts w:ascii="Calibri" w:hAnsi="Calibri" w:cs="Calibri"/>
          <w:lang w:val="en-US" w:eastAsia="en-GB"/>
        </w:rPr>
      </w:pPr>
    </w:p>
    <w:sectPr w:rsidR="005F3C48" w:rsidRPr="005F3C48">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63276" w14:textId="77777777" w:rsidR="009E6E17" w:rsidRDefault="009E6E17">
      <w:r>
        <w:separator/>
      </w:r>
    </w:p>
  </w:endnote>
  <w:endnote w:type="continuationSeparator" w:id="0">
    <w:p w14:paraId="4CFDAAF2" w14:textId="77777777" w:rsidR="009E6E17" w:rsidRDefault="009E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B739" w14:textId="77777777" w:rsidR="006D1FDC" w:rsidRDefault="006D1FDC" w:rsidP="006D1FDC">
    <w:pPr>
      <w:pStyle w:val="ListParagraph"/>
      <w:ind w:left="0"/>
    </w:pPr>
  </w:p>
  <w:p w14:paraId="3316A7FC" w14:textId="5396C109" w:rsidR="006D1FDC" w:rsidRPr="006D1FDC" w:rsidRDefault="006F33DE" w:rsidP="006F33DE">
    <w:r>
      <w:rPr>
        <w:rFonts w:ascii="Arial" w:hAnsi="Arial" w:cs="Arial"/>
        <w:color w:val="A2A2A2"/>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73722" w14:textId="77777777" w:rsidR="009E6E17" w:rsidRDefault="009E6E17">
      <w:r>
        <w:separator/>
      </w:r>
    </w:p>
  </w:footnote>
  <w:footnote w:type="continuationSeparator" w:id="0">
    <w:p w14:paraId="1815E311" w14:textId="77777777" w:rsidR="009E6E17" w:rsidRDefault="009E6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E610" w14:textId="58E09568" w:rsidR="00F36BB6" w:rsidRDefault="00F36BB6">
    <w:pPr>
      <w:pStyle w:val="Header"/>
      <w:rPr>
        <w:rFonts w:ascii="Trebuchet MS" w:hAnsi="Trebuchet MS"/>
        <w:color w:val="FF0000"/>
        <w:sz w:val="52"/>
        <w:szCs w:val="52"/>
      </w:rPr>
    </w:pPr>
    <w:r w:rsidRPr="00F36BB6">
      <w:rPr>
        <w:rFonts w:ascii="Trebuchet MS" w:hAnsi="Trebuchet MS"/>
        <w:noProof/>
        <w:color w:val="FF0000"/>
        <w:sz w:val="52"/>
        <w:szCs w:val="52"/>
      </w:rPr>
      <w:drawing>
        <wp:anchor distT="0" distB="0" distL="114300" distR="114300" simplePos="0" relativeHeight="251658752" behindDoc="1" locked="0" layoutInCell="1" allowOverlap="1" wp14:anchorId="5DA04FC8" wp14:editId="4AB1649C">
          <wp:simplePos x="0" y="0"/>
          <wp:positionH relativeFrom="column">
            <wp:posOffset>4314825</wp:posOffset>
          </wp:positionH>
          <wp:positionV relativeFrom="paragraph">
            <wp:posOffset>-204470</wp:posOffset>
          </wp:positionV>
          <wp:extent cx="1524000" cy="1270000"/>
          <wp:effectExtent l="0" t="0" r="0" b="6350"/>
          <wp:wrapTight wrapText="bothSides">
            <wp:wrapPolygon edited="0">
              <wp:start x="0" y="0"/>
              <wp:lineTo x="0" y="21384"/>
              <wp:lineTo x="21330" y="21384"/>
              <wp:lineTo x="21330" y="0"/>
              <wp:lineTo x="0" y="0"/>
            </wp:wrapPolygon>
          </wp:wrapTight>
          <wp:docPr id="1" name="Picture 1" descr="NorthernIrelaD18bR05cP01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IrelaD18bR05cP01Z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6BE68" w14:textId="7CA040A3" w:rsidR="00F36BB6" w:rsidRDefault="00F36BB6">
    <w:pPr>
      <w:pStyle w:val="Header"/>
      <w:rPr>
        <w:rFonts w:ascii="Trebuchet MS" w:hAnsi="Trebuchet MS"/>
        <w:color w:val="FF0000"/>
        <w:sz w:val="52"/>
        <w:szCs w:val="52"/>
      </w:rPr>
    </w:pPr>
  </w:p>
  <w:p w14:paraId="09016D3F" w14:textId="70B8B95E" w:rsidR="0079741A" w:rsidRPr="00F36BB6" w:rsidRDefault="00F36BB6">
    <w:pPr>
      <w:pStyle w:val="Header"/>
      <w:rPr>
        <w:rFonts w:ascii="Trebuchet MS" w:hAnsi="Trebuchet MS"/>
        <w:color w:val="FF0000"/>
        <w:sz w:val="52"/>
        <w:szCs w:val="52"/>
      </w:rPr>
    </w:pPr>
    <w:r>
      <w:rPr>
        <w:rFonts w:ascii="Trebuchet MS" w:hAnsi="Trebuchet MS"/>
        <w:color w:val="FF0000"/>
        <w:sz w:val="52"/>
        <w:szCs w:val="52"/>
      </w:rPr>
      <w:t>H</w:t>
    </w:r>
    <w:r w:rsidRPr="00F36BB6">
      <w:rPr>
        <w:rFonts w:ascii="Trebuchet MS" w:hAnsi="Trebuchet MS"/>
        <w:color w:val="FF0000"/>
        <w:sz w:val="52"/>
        <w:szCs w:val="52"/>
      </w:rPr>
      <w:t>ealth and Safety at Work Policy</w:t>
    </w:r>
  </w:p>
  <w:p w14:paraId="62731C62" w14:textId="77777777" w:rsidR="00F36BB6" w:rsidRDefault="00F36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2FC1"/>
    <w:multiLevelType w:val="hybridMultilevel"/>
    <w:tmpl w:val="8A4AA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60685"/>
    <w:multiLevelType w:val="hybridMultilevel"/>
    <w:tmpl w:val="60004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81EEE"/>
    <w:multiLevelType w:val="hybridMultilevel"/>
    <w:tmpl w:val="BB30B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CD237E"/>
    <w:multiLevelType w:val="multilevel"/>
    <w:tmpl w:val="B53C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AF5726"/>
    <w:multiLevelType w:val="hybridMultilevel"/>
    <w:tmpl w:val="B4BE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3F"/>
    <w:rsid w:val="00014571"/>
    <w:rsid w:val="00040950"/>
    <w:rsid w:val="00042445"/>
    <w:rsid w:val="0005554E"/>
    <w:rsid w:val="00067FB2"/>
    <w:rsid w:val="00082DFD"/>
    <w:rsid w:val="0009074A"/>
    <w:rsid w:val="000E7408"/>
    <w:rsid w:val="00136963"/>
    <w:rsid w:val="00156F85"/>
    <w:rsid w:val="001C44F3"/>
    <w:rsid w:val="001D0027"/>
    <w:rsid w:val="001E0BB2"/>
    <w:rsid w:val="0020093F"/>
    <w:rsid w:val="00275132"/>
    <w:rsid w:val="00297635"/>
    <w:rsid w:val="002E4EF6"/>
    <w:rsid w:val="002F210F"/>
    <w:rsid w:val="002F2FA8"/>
    <w:rsid w:val="0031217B"/>
    <w:rsid w:val="00323F7C"/>
    <w:rsid w:val="0033464A"/>
    <w:rsid w:val="003914A4"/>
    <w:rsid w:val="00392C64"/>
    <w:rsid w:val="003B1107"/>
    <w:rsid w:val="003D0151"/>
    <w:rsid w:val="00473CB3"/>
    <w:rsid w:val="00483649"/>
    <w:rsid w:val="004C25D8"/>
    <w:rsid w:val="004E7026"/>
    <w:rsid w:val="004F04AD"/>
    <w:rsid w:val="005767DA"/>
    <w:rsid w:val="00587531"/>
    <w:rsid w:val="005D46E3"/>
    <w:rsid w:val="005F3C48"/>
    <w:rsid w:val="005F5FBA"/>
    <w:rsid w:val="00612DE0"/>
    <w:rsid w:val="00617A7E"/>
    <w:rsid w:val="006761E2"/>
    <w:rsid w:val="006B6AD2"/>
    <w:rsid w:val="006C2277"/>
    <w:rsid w:val="006D1FDC"/>
    <w:rsid w:val="006E4044"/>
    <w:rsid w:val="006F2B88"/>
    <w:rsid w:val="006F33DE"/>
    <w:rsid w:val="0073085E"/>
    <w:rsid w:val="00740721"/>
    <w:rsid w:val="0076090A"/>
    <w:rsid w:val="00763990"/>
    <w:rsid w:val="00776B70"/>
    <w:rsid w:val="00787325"/>
    <w:rsid w:val="0079741A"/>
    <w:rsid w:val="007B6259"/>
    <w:rsid w:val="007B6960"/>
    <w:rsid w:val="007E690F"/>
    <w:rsid w:val="007F5423"/>
    <w:rsid w:val="00812A87"/>
    <w:rsid w:val="008C0700"/>
    <w:rsid w:val="008D56F9"/>
    <w:rsid w:val="00906CAD"/>
    <w:rsid w:val="00921589"/>
    <w:rsid w:val="00933A97"/>
    <w:rsid w:val="009966CD"/>
    <w:rsid w:val="009A2474"/>
    <w:rsid w:val="009D71CB"/>
    <w:rsid w:val="009E6E17"/>
    <w:rsid w:val="00A67034"/>
    <w:rsid w:val="00A94CAF"/>
    <w:rsid w:val="00AC54DC"/>
    <w:rsid w:val="00AD7088"/>
    <w:rsid w:val="00B87421"/>
    <w:rsid w:val="00BB4393"/>
    <w:rsid w:val="00BF6C33"/>
    <w:rsid w:val="00C2087F"/>
    <w:rsid w:val="00C252FC"/>
    <w:rsid w:val="00C377CF"/>
    <w:rsid w:val="00C80A9B"/>
    <w:rsid w:val="00CA6704"/>
    <w:rsid w:val="00CD2051"/>
    <w:rsid w:val="00CE1AC1"/>
    <w:rsid w:val="00CE6655"/>
    <w:rsid w:val="00D1652D"/>
    <w:rsid w:val="00E3798A"/>
    <w:rsid w:val="00E93D98"/>
    <w:rsid w:val="00EE6EA7"/>
    <w:rsid w:val="00F36BB6"/>
    <w:rsid w:val="00F748C3"/>
    <w:rsid w:val="00FC3DC6"/>
    <w:rsid w:val="00FD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2F45E"/>
  <w15:docId w15:val="{9D57DA00-04D8-4157-B221-A7E3F7F2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8D56F9"/>
    <w:pPr>
      <w:tabs>
        <w:tab w:val="center" w:pos="4153"/>
        <w:tab w:val="right" w:pos="8306"/>
      </w:tabs>
    </w:pPr>
  </w:style>
  <w:style w:type="paragraph" w:styleId="Footer">
    <w:name w:val="footer"/>
    <w:basedOn w:val="Normal"/>
    <w:rsid w:val="008D56F9"/>
    <w:pPr>
      <w:tabs>
        <w:tab w:val="center" w:pos="4153"/>
        <w:tab w:val="right" w:pos="8306"/>
      </w:tabs>
    </w:pPr>
  </w:style>
  <w:style w:type="paragraph" w:styleId="ListParagraph">
    <w:name w:val="List Paragraph"/>
    <w:basedOn w:val="Normal"/>
    <w:uiPriority w:val="34"/>
    <w:qFormat/>
    <w:rsid w:val="006D1FDC"/>
    <w:pPr>
      <w:ind w:left="720"/>
    </w:pPr>
    <w:rPr>
      <w:rFonts w:ascii="Calibri" w:eastAsia="Calibri" w:hAnsi="Calibri" w:cs="Calibri"/>
      <w:sz w:val="22"/>
      <w:szCs w:val="22"/>
      <w:lang w:eastAsia="en-GB"/>
    </w:rPr>
  </w:style>
  <w:style w:type="paragraph" w:styleId="PlainText">
    <w:name w:val="Plain Text"/>
    <w:basedOn w:val="Normal"/>
    <w:link w:val="PlainTextChar"/>
    <w:uiPriority w:val="99"/>
    <w:unhideWhenUsed/>
    <w:rsid w:val="00C80A9B"/>
    <w:rPr>
      <w:rFonts w:ascii="Consolas" w:eastAsia="Calibri" w:hAnsi="Consolas"/>
      <w:sz w:val="21"/>
      <w:szCs w:val="21"/>
      <w:lang w:val="en-US"/>
    </w:rPr>
  </w:style>
  <w:style w:type="character" w:customStyle="1" w:styleId="PlainTextChar">
    <w:name w:val="Plain Text Char"/>
    <w:link w:val="PlainText"/>
    <w:uiPriority w:val="99"/>
    <w:rsid w:val="00C80A9B"/>
    <w:rPr>
      <w:rFonts w:ascii="Consolas" w:eastAsia="Calibri" w:hAnsi="Consolas" w:cs="Times New Roman"/>
      <w:sz w:val="21"/>
      <w:szCs w:val="21"/>
    </w:rPr>
  </w:style>
  <w:style w:type="paragraph" w:styleId="BalloonText">
    <w:name w:val="Balloon Text"/>
    <w:basedOn w:val="Normal"/>
    <w:link w:val="BalloonTextChar"/>
    <w:rsid w:val="001C44F3"/>
    <w:rPr>
      <w:rFonts w:ascii="Tahoma" w:hAnsi="Tahoma" w:cs="Tahoma"/>
      <w:sz w:val="16"/>
      <w:szCs w:val="16"/>
    </w:rPr>
  </w:style>
  <w:style w:type="character" w:customStyle="1" w:styleId="BalloonTextChar">
    <w:name w:val="Balloon Text Char"/>
    <w:basedOn w:val="DefaultParagraphFont"/>
    <w:link w:val="BalloonText"/>
    <w:rsid w:val="001C44F3"/>
    <w:rPr>
      <w:rFonts w:ascii="Tahoma" w:hAnsi="Tahoma" w:cs="Tahoma"/>
      <w:sz w:val="16"/>
      <w:szCs w:val="16"/>
      <w:lang w:eastAsia="en-US"/>
    </w:rPr>
  </w:style>
  <w:style w:type="paragraph" w:customStyle="1" w:styleId="Default">
    <w:name w:val="Default"/>
    <w:rsid w:val="001E0BB2"/>
    <w:pPr>
      <w:autoSpaceDE w:val="0"/>
      <w:autoSpaceDN w:val="0"/>
      <w:adjustRightInd w:val="0"/>
    </w:pPr>
    <w:rPr>
      <w:rFonts w:ascii="Verdana" w:hAnsi="Verdana" w:cs="Verdana"/>
      <w:color w:val="000000"/>
      <w:sz w:val="24"/>
      <w:szCs w:val="24"/>
      <w:lang w:val="en-US"/>
    </w:rPr>
  </w:style>
  <w:style w:type="character" w:styleId="UnresolvedMention">
    <w:name w:val="Unresolved Mention"/>
    <w:basedOn w:val="DefaultParagraphFont"/>
    <w:uiPriority w:val="99"/>
    <w:semiHidden/>
    <w:unhideWhenUsed/>
    <w:rsid w:val="00CE1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8766">
      <w:bodyDiv w:val="1"/>
      <w:marLeft w:val="0"/>
      <w:marRight w:val="0"/>
      <w:marTop w:val="0"/>
      <w:marBottom w:val="0"/>
      <w:divBdr>
        <w:top w:val="none" w:sz="0" w:space="0" w:color="auto"/>
        <w:left w:val="none" w:sz="0" w:space="0" w:color="auto"/>
        <w:bottom w:val="none" w:sz="0" w:space="0" w:color="auto"/>
        <w:right w:val="none" w:sz="0" w:space="0" w:color="auto"/>
      </w:divBdr>
    </w:div>
    <w:div w:id="315719579">
      <w:bodyDiv w:val="1"/>
      <w:marLeft w:val="0"/>
      <w:marRight w:val="0"/>
      <w:marTop w:val="0"/>
      <w:marBottom w:val="0"/>
      <w:divBdr>
        <w:top w:val="none" w:sz="0" w:space="0" w:color="auto"/>
        <w:left w:val="none" w:sz="0" w:space="0" w:color="auto"/>
        <w:bottom w:val="none" w:sz="0" w:space="0" w:color="auto"/>
        <w:right w:val="none" w:sz="0" w:space="0" w:color="auto"/>
      </w:divBdr>
      <w:divsChild>
        <w:div w:id="588272486">
          <w:marLeft w:val="0"/>
          <w:marRight w:val="0"/>
          <w:marTop w:val="0"/>
          <w:marBottom w:val="0"/>
          <w:divBdr>
            <w:top w:val="none" w:sz="0" w:space="0" w:color="auto"/>
            <w:left w:val="none" w:sz="0" w:space="0" w:color="auto"/>
            <w:bottom w:val="none" w:sz="0" w:space="0" w:color="auto"/>
            <w:right w:val="none" w:sz="0" w:space="0" w:color="auto"/>
          </w:divBdr>
        </w:div>
      </w:divsChild>
    </w:div>
    <w:div w:id="598148792">
      <w:bodyDiv w:val="1"/>
      <w:marLeft w:val="0"/>
      <w:marRight w:val="0"/>
      <w:marTop w:val="0"/>
      <w:marBottom w:val="0"/>
      <w:divBdr>
        <w:top w:val="none" w:sz="0" w:space="0" w:color="auto"/>
        <w:left w:val="none" w:sz="0" w:space="0" w:color="auto"/>
        <w:bottom w:val="none" w:sz="0" w:space="0" w:color="auto"/>
        <w:right w:val="none" w:sz="0" w:space="0" w:color="auto"/>
      </w:divBdr>
    </w:div>
    <w:div w:id="1366054180">
      <w:bodyDiv w:val="1"/>
      <w:marLeft w:val="0"/>
      <w:marRight w:val="0"/>
      <w:marTop w:val="0"/>
      <w:marBottom w:val="0"/>
      <w:divBdr>
        <w:top w:val="none" w:sz="0" w:space="0" w:color="auto"/>
        <w:left w:val="none" w:sz="0" w:space="0" w:color="auto"/>
        <w:bottom w:val="none" w:sz="0" w:space="0" w:color="auto"/>
        <w:right w:val="none" w:sz="0" w:space="0" w:color="auto"/>
      </w:divBdr>
    </w:div>
    <w:div w:id="1461924056">
      <w:bodyDiv w:val="1"/>
      <w:marLeft w:val="0"/>
      <w:marRight w:val="0"/>
      <w:marTop w:val="0"/>
      <w:marBottom w:val="0"/>
      <w:divBdr>
        <w:top w:val="none" w:sz="0" w:space="0" w:color="auto"/>
        <w:left w:val="none" w:sz="0" w:space="0" w:color="auto"/>
        <w:bottom w:val="none" w:sz="0" w:space="0" w:color="auto"/>
        <w:right w:val="none" w:sz="0" w:space="0" w:color="auto"/>
      </w:divBdr>
    </w:div>
    <w:div w:id="19208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nisi/1978/1039/cont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hseni.gov.uk/sites/hseni.gov.uk/files/publications/%5Bcurrent-domain%3Amachine-name%5D/five-steps-to-risk-assessment-2017.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31715-186A-4744-B362-9699DAC7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Ulster</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Gill</dc:creator>
  <cp:lastModifiedBy>David Connery</cp:lastModifiedBy>
  <cp:revision>9</cp:revision>
  <cp:lastPrinted>2018-06-20T18:07:00Z</cp:lastPrinted>
  <dcterms:created xsi:type="dcterms:W3CDTF">2020-02-09T09:00:00Z</dcterms:created>
  <dcterms:modified xsi:type="dcterms:W3CDTF">2020-05-01T10:10:00Z</dcterms:modified>
</cp:coreProperties>
</file>