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345E6" w14:textId="6F403743" w:rsidR="009E32F0" w:rsidRDefault="00C252FC" w:rsidP="009E32F0">
      <w:pPr>
        <w:autoSpaceDE w:val="0"/>
        <w:autoSpaceDN w:val="0"/>
        <w:adjustRightInd w:val="0"/>
        <w:rPr>
          <w:rFonts w:ascii="TrebuchetMS" w:hAnsi="TrebuchetMS" w:cs="TrebuchetMS"/>
          <w:color w:val="17365D"/>
          <w:sz w:val="52"/>
          <w:szCs w:val="52"/>
          <w:lang w:val="en-US" w:eastAsia="en-GB"/>
        </w:rPr>
      </w:pPr>
      <w:r w:rsidRPr="004E7026">
        <w:rPr>
          <w:rFonts w:ascii="Arial" w:hAnsi="Arial" w:cs="Arial"/>
        </w:rPr>
        <w:tab/>
      </w:r>
    </w:p>
    <w:p w14:paraId="2275F4AE" w14:textId="77777777" w:rsidR="009E32F0" w:rsidRPr="003A6C49" w:rsidRDefault="009E32F0" w:rsidP="009E32F0">
      <w:pPr>
        <w:autoSpaceDE w:val="0"/>
        <w:autoSpaceDN w:val="0"/>
        <w:adjustRightInd w:val="0"/>
        <w:rPr>
          <w:rFonts w:ascii="TrebuchetMS" w:hAnsi="TrebuchetMS" w:cs="TrebuchetMS"/>
          <w:color w:val="DB291C"/>
          <w:sz w:val="32"/>
          <w:szCs w:val="32"/>
          <w:lang w:val="en-US" w:eastAsia="en-GB"/>
        </w:rPr>
      </w:pPr>
      <w:r w:rsidRPr="003A6C49">
        <w:rPr>
          <w:rFonts w:ascii="TrebuchetMS" w:hAnsi="TrebuchetMS" w:cs="TrebuchetMS"/>
          <w:color w:val="DB291C"/>
          <w:sz w:val="32"/>
          <w:szCs w:val="32"/>
          <w:lang w:val="en-US" w:eastAsia="en-GB"/>
        </w:rPr>
        <w:t>1. Introduction</w:t>
      </w:r>
    </w:p>
    <w:p w14:paraId="5892E863" w14:textId="7212F658"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Northern Ireland Fencing (NIF) aims to conduct its business at all times with the highest standards of integrity, and honesty. We expect all employees and workers to maintain the same standards in everything they do. All those who work for us are therefore strongly encouraged to report any perceived wrongdoing by the organisation or its employees, workers, contractors or agents that falls short of these principles.</w:t>
      </w:r>
    </w:p>
    <w:p w14:paraId="5C818447" w14:textId="6FBC90CD" w:rsidR="00F61AF2" w:rsidRDefault="00F61AF2" w:rsidP="009E32F0">
      <w:pPr>
        <w:autoSpaceDE w:val="0"/>
        <w:autoSpaceDN w:val="0"/>
        <w:adjustRightInd w:val="0"/>
        <w:rPr>
          <w:rFonts w:ascii="Calibri" w:hAnsi="Calibri" w:cs="Calibri"/>
          <w:color w:val="000000"/>
          <w:sz w:val="22"/>
          <w:szCs w:val="22"/>
          <w:lang w:val="en-US" w:eastAsia="en-GB"/>
        </w:rPr>
      </w:pPr>
    </w:p>
    <w:p w14:paraId="300BEFBA" w14:textId="36BB159A" w:rsidR="00F61AF2" w:rsidRDefault="00F61AF2"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General advice about whistleblowing can be found on the NI Government website</w:t>
      </w:r>
    </w:p>
    <w:p w14:paraId="4238881E" w14:textId="2FC7BB5D" w:rsidR="00F61AF2" w:rsidRDefault="00242A9A" w:rsidP="009E32F0">
      <w:pPr>
        <w:autoSpaceDE w:val="0"/>
        <w:autoSpaceDN w:val="0"/>
        <w:adjustRightInd w:val="0"/>
        <w:rPr>
          <w:rFonts w:ascii="Calibri" w:hAnsi="Calibri" w:cs="Calibri"/>
          <w:color w:val="000000"/>
          <w:sz w:val="22"/>
          <w:szCs w:val="22"/>
          <w:lang w:val="en-US" w:eastAsia="en-GB"/>
        </w:rPr>
      </w:pPr>
      <w:hyperlink r:id="rId8" w:history="1">
        <w:r w:rsidR="00F61AF2" w:rsidRPr="00B04EAA">
          <w:rPr>
            <w:rStyle w:val="Hyperlink"/>
            <w:rFonts w:ascii="Calibri" w:hAnsi="Calibri" w:cs="Calibri"/>
            <w:sz w:val="22"/>
            <w:szCs w:val="22"/>
            <w:lang w:val="en-US" w:eastAsia="en-GB"/>
          </w:rPr>
          <w:t>https://www.nidirect.gov.uk/articles/blowing-whistle-workplace-wrongdoing</w:t>
        </w:r>
      </w:hyperlink>
    </w:p>
    <w:p w14:paraId="21A445B0" w14:textId="77777777" w:rsidR="009E32F0" w:rsidRDefault="009E32F0" w:rsidP="009E32F0">
      <w:pPr>
        <w:autoSpaceDE w:val="0"/>
        <w:autoSpaceDN w:val="0"/>
        <w:adjustRightInd w:val="0"/>
        <w:rPr>
          <w:rFonts w:ascii="Calibri" w:hAnsi="Calibri" w:cs="Calibri"/>
          <w:color w:val="000000"/>
          <w:sz w:val="22"/>
          <w:szCs w:val="22"/>
          <w:lang w:val="en-US" w:eastAsia="en-GB"/>
        </w:rPr>
      </w:pPr>
    </w:p>
    <w:p w14:paraId="16E9FA81" w14:textId="526AFD08"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This policy is not contractual but sets out the way in which we plan to manage such issues.</w:t>
      </w:r>
    </w:p>
    <w:p w14:paraId="6D7A100B" w14:textId="77777777" w:rsidR="009E32F0" w:rsidRDefault="009E32F0" w:rsidP="009E32F0">
      <w:pPr>
        <w:autoSpaceDE w:val="0"/>
        <w:autoSpaceDN w:val="0"/>
        <w:adjustRightInd w:val="0"/>
        <w:rPr>
          <w:rFonts w:ascii="Calibri" w:hAnsi="Calibri" w:cs="Calibri"/>
          <w:color w:val="000000"/>
          <w:sz w:val="22"/>
          <w:szCs w:val="22"/>
          <w:lang w:val="en-US" w:eastAsia="en-GB"/>
        </w:rPr>
      </w:pPr>
    </w:p>
    <w:p w14:paraId="293BE6DB" w14:textId="77777777" w:rsidR="009E32F0" w:rsidRPr="003A6C49" w:rsidRDefault="009E32F0" w:rsidP="009E32F0">
      <w:pPr>
        <w:autoSpaceDE w:val="0"/>
        <w:autoSpaceDN w:val="0"/>
        <w:adjustRightInd w:val="0"/>
        <w:rPr>
          <w:rFonts w:ascii="TrebuchetMS" w:hAnsi="TrebuchetMS" w:cs="TrebuchetMS"/>
          <w:color w:val="DB291C"/>
          <w:sz w:val="32"/>
          <w:szCs w:val="32"/>
          <w:lang w:val="en-US" w:eastAsia="en-GB"/>
        </w:rPr>
      </w:pPr>
      <w:r w:rsidRPr="003A6C49">
        <w:rPr>
          <w:rFonts w:ascii="TrebuchetMS" w:hAnsi="TrebuchetMS" w:cs="TrebuchetMS"/>
          <w:color w:val="DB291C"/>
          <w:sz w:val="32"/>
          <w:szCs w:val="32"/>
          <w:lang w:val="en-US" w:eastAsia="en-GB"/>
        </w:rPr>
        <w:t>2. Scope of this policy</w:t>
      </w:r>
    </w:p>
    <w:p w14:paraId="50570F6C" w14:textId="43557E9B"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This policy covers all employees and workers, including those on fixed-term contracts, any casual workers or agency workers. It aims to protect those who make a 'protected disclosure' either during their employment (or duration of the contract/agreement in the case of workers) and also after this has ended, and also enables them to take action in respect of any victimisation.</w:t>
      </w:r>
    </w:p>
    <w:p w14:paraId="41E6E84F" w14:textId="77777777" w:rsidR="009E32F0" w:rsidRDefault="009E32F0" w:rsidP="009E32F0">
      <w:pPr>
        <w:autoSpaceDE w:val="0"/>
        <w:autoSpaceDN w:val="0"/>
        <w:adjustRightInd w:val="0"/>
        <w:rPr>
          <w:rFonts w:ascii="Calibri" w:hAnsi="Calibri" w:cs="Calibri"/>
          <w:color w:val="000000"/>
          <w:sz w:val="22"/>
          <w:szCs w:val="22"/>
          <w:lang w:val="en-US" w:eastAsia="en-GB"/>
        </w:rPr>
      </w:pPr>
    </w:p>
    <w:p w14:paraId="02C7DFD6" w14:textId="48CD8597"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For a disclosure to be protected it must reasonably appear to the employee or worker that it is in the ’public interest‘. The previous requirement that it should be brought in "good faith" no longer applies (however a disclosure that is not made in good faith may result in a reduction of up to 25% in any compensation subsequently awarded by a tribunal). Note that the scope of this policy does not cover any potential breaches of an employee's employment contract: these should be raised under our grievance procedure.</w:t>
      </w:r>
    </w:p>
    <w:p w14:paraId="0F8AD2F7" w14:textId="77777777" w:rsidR="009E32F0" w:rsidRDefault="009E32F0" w:rsidP="009E32F0">
      <w:pPr>
        <w:autoSpaceDE w:val="0"/>
        <w:autoSpaceDN w:val="0"/>
        <w:adjustRightInd w:val="0"/>
        <w:rPr>
          <w:rFonts w:ascii="Calibri" w:hAnsi="Calibri" w:cs="Calibri"/>
          <w:color w:val="000000"/>
          <w:sz w:val="22"/>
          <w:szCs w:val="22"/>
          <w:lang w:val="en-US" w:eastAsia="en-GB"/>
        </w:rPr>
      </w:pPr>
    </w:p>
    <w:p w14:paraId="67C99AE8" w14:textId="422C9AB8"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Nor is this policy intended to be used to question financial or business decisions taken by us, nor as a means of reconsidering any matters that have already been addressed under our bullying and harassment, grievance, disciplinary or other procedures.</w:t>
      </w:r>
    </w:p>
    <w:p w14:paraId="44385B9C" w14:textId="77777777" w:rsidR="009E32F0" w:rsidRDefault="009E32F0" w:rsidP="009E32F0">
      <w:pPr>
        <w:autoSpaceDE w:val="0"/>
        <w:autoSpaceDN w:val="0"/>
        <w:adjustRightInd w:val="0"/>
        <w:rPr>
          <w:rFonts w:ascii="Calibri" w:hAnsi="Calibri" w:cs="Calibri"/>
          <w:color w:val="000000"/>
          <w:sz w:val="22"/>
          <w:szCs w:val="22"/>
          <w:lang w:val="en-US" w:eastAsia="en-GB"/>
        </w:rPr>
      </w:pPr>
    </w:p>
    <w:p w14:paraId="3C489750" w14:textId="77777777" w:rsidR="009E32F0" w:rsidRPr="003A6C49" w:rsidRDefault="009E32F0" w:rsidP="009E32F0">
      <w:pPr>
        <w:autoSpaceDE w:val="0"/>
        <w:autoSpaceDN w:val="0"/>
        <w:adjustRightInd w:val="0"/>
        <w:rPr>
          <w:rFonts w:ascii="TrebuchetMS" w:hAnsi="TrebuchetMS" w:cs="TrebuchetMS"/>
          <w:color w:val="DB291C"/>
          <w:sz w:val="32"/>
          <w:szCs w:val="32"/>
          <w:lang w:val="en-US" w:eastAsia="en-GB"/>
        </w:rPr>
      </w:pPr>
      <w:r w:rsidRPr="003A6C49">
        <w:rPr>
          <w:rFonts w:ascii="TrebuchetMS" w:hAnsi="TrebuchetMS" w:cs="TrebuchetMS"/>
          <w:color w:val="DB291C"/>
          <w:sz w:val="32"/>
          <w:szCs w:val="32"/>
          <w:lang w:val="en-US" w:eastAsia="en-GB"/>
        </w:rPr>
        <w:t>3. Aims of this policy</w:t>
      </w:r>
    </w:p>
    <w:p w14:paraId="11A24878" w14:textId="6C87FD7F"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This policy aims to assist us in the early detection of any inappropriate behaviour or practices within BF and to provide a clear procedure for our employees and workers to report to us any wrongdoing at work which they believe has occurred, or is likely to occur. We recognise that individuals may not always feel comfortable about discussing their concerns internally, especially if they believe that the business itself is responsible for the wrongdoing. The aim of this policy is to ensure that they feel confident and able to raise any reasonable concern about our business activities in the knowledge that it will be taken seriously, and that no action will be taken against them by either BF or their colleagues.</w:t>
      </w:r>
    </w:p>
    <w:p w14:paraId="3814E31A" w14:textId="77777777" w:rsidR="009E32F0" w:rsidRDefault="009E32F0" w:rsidP="009E32F0">
      <w:pPr>
        <w:autoSpaceDE w:val="0"/>
        <w:autoSpaceDN w:val="0"/>
        <w:adjustRightInd w:val="0"/>
        <w:rPr>
          <w:rFonts w:ascii="Calibri" w:hAnsi="Calibri" w:cs="Calibri"/>
          <w:color w:val="000000"/>
          <w:sz w:val="22"/>
          <w:szCs w:val="22"/>
          <w:lang w:val="en-US" w:eastAsia="en-GB"/>
        </w:rPr>
      </w:pPr>
    </w:p>
    <w:p w14:paraId="19C2E682" w14:textId="77777777" w:rsidR="009E32F0" w:rsidRPr="003A6C49" w:rsidRDefault="009E32F0" w:rsidP="009E32F0">
      <w:pPr>
        <w:autoSpaceDE w:val="0"/>
        <w:autoSpaceDN w:val="0"/>
        <w:adjustRightInd w:val="0"/>
        <w:rPr>
          <w:rFonts w:ascii="TrebuchetMS" w:hAnsi="TrebuchetMS" w:cs="TrebuchetMS"/>
          <w:color w:val="DB291C"/>
          <w:sz w:val="32"/>
          <w:szCs w:val="32"/>
          <w:lang w:val="en-US" w:eastAsia="en-GB"/>
        </w:rPr>
      </w:pPr>
      <w:r w:rsidRPr="003A6C49">
        <w:rPr>
          <w:rFonts w:ascii="TrebuchetMS" w:hAnsi="TrebuchetMS" w:cs="TrebuchetMS"/>
          <w:color w:val="DB291C"/>
          <w:sz w:val="32"/>
          <w:szCs w:val="32"/>
          <w:lang w:val="en-US" w:eastAsia="en-GB"/>
        </w:rPr>
        <w:lastRenderedPageBreak/>
        <w:t>4. Legal considerations</w:t>
      </w:r>
    </w:p>
    <w:p w14:paraId="6511C491" w14:textId="015FFC2F"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The following pieces of legislation apply to this policy (Or their NI equivalents):</w:t>
      </w:r>
    </w:p>
    <w:p w14:paraId="75AEE97B"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ArialMT" w:hAnsi="ArialMT" w:cs="ArialMT"/>
          <w:color w:val="000000"/>
          <w:sz w:val="22"/>
          <w:szCs w:val="22"/>
          <w:lang w:val="en-US" w:eastAsia="en-GB"/>
        </w:rPr>
        <w:t xml:space="preserve">- </w:t>
      </w:r>
      <w:r>
        <w:rPr>
          <w:rFonts w:ascii="Calibri" w:hAnsi="Calibri" w:cs="Calibri"/>
          <w:color w:val="000000"/>
          <w:sz w:val="22"/>
          <w:szCs w:val="22"/>
          <w:lang w:val="en-US" w:eastAsia="en-GB"/>
        </w:rPr>
        <w:t>the Protection from Harassment Act 1997</w:t>
      </w:r>
    </w:p>
    <w:p w14:paraId="524008B9"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ArialMT" w:hAnsi="ArialMT" w:cs="ArialMT"/>
          <w:color w:val="000000"/>
          <w:sz w:val="22"/>
          <w:szCs w:val="22"/>
          <w:lang w:val="en-US" w:eastAsia="en-GB"/>
        </w:rPr>
        <w:t xml:space="preserve">- </w:t>
      </w:r>
      <w:r>
        <w:rPr>
          <w:rFonts w:ascii="Calibri" w:hAnsi="Calibri" w:cs="Calibri"/>
          <w:color w:val="000000"/>
          <w:sz w:val="22"/>
          <w:szCs w:val="22"/>
          <w:lang w:val="en-US" w:eastAsia="en-GB"/>
        </w:rPr>
        <w:t>the Public Interest Disclosure Act 1998 (PIDA)</w:t>
      </w:r>
    </w:p>
    <w:p w14:paraId="7D9B708D"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ArialMT" w:hAnsi="ArialMT" w:cs="ArialMT"/>
          <w:color w:val="000000"/>
          <w:sz w:val="22"/>
          <w:szCs w:val="22"/>
          <w:lang w:val="en-US" w:eastAsia="en-GB"/>
        </w:rPr>
        <w:t xml:space="preserve">- </w:t>
      </w:r>
      <w:r>
        <w:rPr>
          <w:rFonts w:ascii="Calibri" w:hAnsi="Calibri" w:cs="Calibri"/>
          <w:color w:val="000000"/>
          <w:sz w:val="22"/>
          <w:szCs w:val="22"/>
          <w:lang w:val="en-US" w:eastAsia="en-GB"/>
        </w:rPr>
        <w:t>the Bribery Act 2010</w:t>
      </w:r>
    </w:p>
    <w:p w14:paraId="4F39DF23" w14:textId="5A5A4215" w:rsidR="009E32F0" w:rsidRDefault="009E32F0" w:rsidP="009E32F0">
      <w:pPr>
        <w:autoSpaceDE w:val="0"/>
        <w:autoSpaceDN w:val="0"/>
        <w:adjustRightInd w:val="0"/>
        <w:rPr>
          <w:rFonts w:ascii="Calibri" w:hAnsi="Calibri" w:cs="Calibri"/>
          <w:color w:val="000000"/>
          <w:sz w:val="22"/>
          <w:szCs w:val="22"/>
          <w:lang w:val="en-US" w:eastAsia="en-GB"/>
        </w:rPr>
      </w:pPr>
      <w:r>
        <w:rPr>
          <w:rFonts w:ascii="ArialMT" w:hAnsi="ArialMT" w:cs="ArialMT"/>
          <w:color w:val="000000"/>
          <w:sz w:val="22"/>
          <w:szCs w:val="22"/>
          <w:lang w:val="en-US" w:eastAsia="en-GB"/>
        </w:rPr>
        <w:t xml:space="preserve">- </w:t>
      </w:r>
      <w:r>
        <w:rPr>
          <w:rFonts w:ascii="Calibri" w:hAnsi="Calibri" w:cs="Calibri"/>
          <w:color w:val="000000"/>
          <w:sz w:val="22"/>
          <w:szCs w:val="22"/>
          <w:lang w:val="en-US" w:eastAsia="en-GB"/>
        </w:rPr>
        <w:t>the Enterprise and Regulatory Reform Act 2013.</w:t>
      </w:r>
    </w:p>
    <w:p w14:paraId="53A60382" w14:textId="77777777" w:rsidR="009E32F0" w:rsidRDefault="009E32F0" w:rsidP="009E32F0">
      <w:pPr>
        <w:autoSpaceDE w:val="0"/>
        <w:autoSpaceDN w:val="0"/>
        <w:adjustRightInd w:val="0"/>
        <w:rPr>
          <w:rFonts w:ascii="Calibri" w:hAnsi="Calibri" w:cs="Calibri"/>
          <w:color w:val="000000"/>
          <w:sz w:val="22"/>
          <w:szCs w:val="22"/>
          <w:lang w:val="en-US" w:eastAsia="en-GB"/>
        </w:rPr>
      </w:pPr>
    </w:p>
    <w:p w14:paraId="7A321CC0" w14:textId="77777777" w:rsidR="009E32F0" w:rsidRPr="003A6C49" w:rsidRDefault="009E32F0" w:rsidP="009E32F0">
      <w:pPr>
        <w:autoSpaceDE w:val="0"/>
        <w:autoSpaceDN w:val="0"/>
        <w:adjustRightInd w:val="0"/>
        <w:rPr>
          <w:rFonts w:ascii="TrebuchetMS" w:hAnsi="TrebuchetMS" w:cs="TrebuchetMS"/>
          <w:color w:val="DB291C"/>
          <w:sz w:val="32"/>
          <w:szCs w:val="32"/>
          <w:lang w:val="en-US" w:eastAsia="en-GB"/>
        </w:rPr>
      </w:pPr>
      <w:r w:rsidRPr="003A6C49">
        <w:rPr>
          <w:rFonts w:ascii="TrebuchetMS" w:hAnsi="TrebuchetMS" w:cs="TrebuchetMS"/>
          <w:color w:val="DB291C"/>
          <w:sz w:val="32"/>
          <w:szCs w:val="32"/>
          <w:lang w:val="en-US" w:eastAsia="en-GB"/>
        </w:rPr>
        <w:t>5. Responsibility</w:t>
      </w:r>
    </w:p>
    <w:p w14:paraId="1588281A" w14:textId="6CDED928"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The overall responsibility for implementing and monitoring the effectiveness of this policy rests with the senior management of NIF. Managers and supervisors have a crucial role to play in encouraging employees and workers under their supervision to report any concerns they may have. Any employee or worker who has knowledge of, or reasonably suspects, any fraud, theft or other suspicious or unlawful act taking place within BF is required to report this to his/her manager, or to use the procedure set out below.</w:t>
      </w:r>
    </w:p>
    <w:p w14:paraId="3C3DBFBA" w14:textId="77777777" w:rsidR="009E32F0" w:rsidRDefault="009E32F0" w:rsidP="009E32F0">
      <w:pPr>
        <w:autoSpaceDE w:val="0"/>
        <w:autoSpaceDN w:val="0"/>
        <w:adjustRightInd w:val="0"/>
        <w:rPr>
          <w:rFonts w:ascii="Calibri" w:hAnsi="Calibri" w:cs="Calibri"/>
          <w:color w:val="000000"/>
          <w:sz w:val="22"/>
          <w:szCs w:val="22"/>
          <w:lang w:val="en-US" w:eastAsia="en-GB"/>
        </w:rPr>
      </w:pPr>
    </w:p>
    <w:p w14:paraId="22867EFC" w14:textId="45758981"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 xml:space="preserve">All employees and workers, irrespective of their job or seniority, are required not to subject any other employee or worker to any detrimental treatment nor harass or bully such an individual on the basis that he/she has raised a concern under this policy. They are also required not to encourage others to do so nor to tolerate such behaviour. Disciplinary action, including dismissal, may be taken against any employee found guilty of </w:t>
      </w:r>
      <w:r w:rsidR="00BC31D5">
        <w:rPr>
          <w:rFonts w:ascii="Calibri" w:hAnsi="Calibri" w:cs="Calibri"/>
          <w:color w:val="000000"/>
          <w:sz w:val="22"/>
          <w:szCs w:val="22"/>
          <w:lang w:val="en-US" w:eastAsia="en-GB"/>
        </w:rPr>
        <w:t xml:space="preserve">such </w:t>
      </w:r>
      <w:proofErr w:type="spellStart"/>
      <w:r w:rsidR="00BC31D5">
        <w:rPr>
          <w:rFonts w:ascii="Calibri" w:hAnsi="Calibri" w:cs="Calibri"/>
          <w:color w:val="000000"/>
          <w:sz w:val="22"/>
          <w:szCs w:val="22"/>
          <w:lang w:val="en-US" w:eastAsia="en-GB"/>
        </w:rPr>
        <w:t>behaviour</w:t>
      </w:r>
      <w:proofErr w:type="spellEnd"/>
      <w:r>
        <w:rPr>
          <w:rFonts w:ascii="Calibri" w:hAnsi="Calibri" w:cs="Calibri"/>
          <w:color w:val="000000"/>
          <w:sz w:val="22"/>
          <w:szCs w:val="22"/>
          <w:lang w:val="en-US" w:eastAsia="en-GB"/>
        </w:rPr>
        <w:t>. In addition, an employee or worker who has victimised a colleague may be personally liable for any victimisation.</w:t>
      </w:r>
    </w:p>
    <w:p w14:paraId="5CD51578" w14:textId="77777777" w:rsidR="009E32F0" w:rsidRDefault="009E32F0" w:rsidP="009E32F0">
      <w:pPr>
        <w:autoSpaceDE w:val="0"/>
        <w:autoSpaceDN w:val="0"/>
        <w:adjustRightInd w:val="0"/>
        <w:rPr>
          <w:rFonts w:ascii="Calibri" w:hAnsi="Calibri" w:cs="Calibri"/>
          <w:color w:val="000000"/>
          <w:sz w:val="22"/>
          <w:szCs w:val="22"/>
          <w:lang w:val="en-US" w:eastAsia="en-GB"/>
        </w:rPr>
      </w:pPr>
    </w:p>
    <w:p w14:paraId="1CC244D1" w14:textId="77777777" w:rsidR="009E32F0" w:rsidRPr="003A6C49" w:rsidRDefault="009E32F0" w:rsidP="009E32F0">
      <w:pPr>
        <w:autoSpaceDE w:val="0"/>
        <w:autoSpaceDN w:val="0"/>
        <w:adjustRightInd w:val="0"/>
        <w:rPr>
          <w:rFonts w:ascii="TrebuchetMS" w:hAnsi="TrebuchetMS" w:cs="TrebuchetMS"/>
          <w:color w:val="DB291C"/>
          <w:sz w:val="32"/>
          <w:szCs w:val="32"/>
          <w:lang w:val="en-US" w:eastAsia="en-GB"/>
        </w:rPr>
      </w:pPr>
      <w:r w:rsidRPr="003A6C49">
        <w:rPr>
          <w:rFonts w:ascii="TrebuchetMS" w:hAnsi="TrebuchetMS" w:cs="TrebuchetMS"/>
          <w:color w:val="DB291C"/>
          <w:sz w:val="32"/>
          <w:szCs w:val="32"/>
          <w:lang w:val="en-US" w:eastAsia="en-GB"/>
        </w:rPr>
        <w:t>6. Procedure</w:t>
      </w:r>
    </w:p>
    <w:p w14:paraId="4378E937" w14:textId="67FF6F05"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All of our employees and workers are encouraged to use the procedure set out below if they have a concern about any of the following:</w:t>
      </w:r>
    </w:p>
    <w:p w14:paraId="1097B1CF"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wrongdoing at work, including any criminal offence</w:t>
      </w:r>
    </w:p>
    <w:p w14:paraId="268D08F9"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a failure to comply with legal obligations or breach of any statutory Code of Practice</w:t>
      </w:r>
    </w:p>
    <w:p w14:paraId="0B9E09D5"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(however, note that any complaint relating to an alleged breach of an employee's individual</w:t>
      </w:r>
    </w:p>
    <w:p w14:paraId="48EBEDE5"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contract should be raised under our grievance procedure)</w:t>
      </w:r>
    </w:p>
    <w:p w14:paraId="1E1248E7"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a miscarriage of justice</w:t>
      </w:r>
    </w:p>
    <w:p w14:paraId="3E83902C"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a health and safety danger</w:t>
      </w:r>
    </w:p>
    <w:p w14:paraId="583EC20C"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an environmental risk or</w:t>
      </w:r>
    </w:p>
    <w:p w14:paraId="7AA72CEF"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a concealment of any of these.</w:t>
      </w:r>
    </w:p>
    <w:p w14:paraId="7A73C036"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This list is not exhaustive but indicates the types of concerns that should be raised:</w:t>
      </w:r>
    </w:p>
    <w:p w14:paraId="45A1CD54"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misuse of assets (including stores, equipment, vehicles, buildings, computer hardware and</w:t>
      </w:r>
    </w:p>
    <w:p w14:paraId="6B4EF724"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software)</w:t>
      </w:r>
    </w:p>
    <w:p w14:paraId="4F6C01EF"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failure to comply with appropriate professional standards</w:t>
      </w:r>
    </w:p>
    <w:p w14:paraId="7D93105A"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bribery, corruption or fraud including the receiving or giving of gifts or hospitality in breach</w:t>
      </w:r>
    </w:p>
    <w:p w14:paraId="0DE7476E"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of our procedures</w:t>
      </w:r>
    </w:p>
    <w:p w14:paraId="7CAC0ED0"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falsifying records</w:t>
      </w:r>
    </w:p>
    <w:p w14:paraId="6FC1492E"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ArialMT" w:hAnsi="ArialMT" w:cs="ArialMT"/>
          <w:color w:val="000000"/>
          <w:sz w:val="20"/>
          <w:szCs w:val="20"/>
          <w:lang w:val="en-US" w:eastAsia="en-GB"/>
        </w:rPr>
        <w:lastRenderedPageBreak/>
        <w:t xml:space="preserve">- </w:t>
      </w:r>
      <w:r>
        <w:rPr>
          <w:rFonts w:ascii="Calibri" w:hAnsi="Calibri" w:cs="Calibri"/>
          <w:color w:val="000000"/>
          <w:sz w:val="22"/>
          <w:szCs w:val="22"/>
          <w:lang w:val="en-US" w:eastAsia="en-GB"/>
        </w:rPr>
        <w:t>failure to take reasonable steps to report and rectify any situation which is likely to give rise</w:t>
      </w:r>
    </w:p>
    <w:p w14:paraId="65216138"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to a significant avoidable cost, or loss of income to the business or would otherwise seriously</w:t>
      </w:r>
    </w:p>
    <w:p w14:paraId="4C9B96C2"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prejudice it</w:t>
      </w:r>
    </w:p>
    <w:p w14:paraId="07F35C28"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abuse of authority</w:t>
      </w:r>
    </w:p>
    <w:p w14:paraId="1E232F8B" w14:textId="60F0400B" w:rsidR="009E32F0" w:rsidRDefault="009E32F0" w:rsidP="009E32F0">
      <w:pPr>
        <w:autoSpaceDE w:val="0"/>
        <w:autoSpaceDN w:val="0"/>
        <w:adjustRightInd w:val="0"/>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 xml:space="preserve">using the power and authority of </w:t>
      </w:r>
      <w:r w:rsidR="00D4698D">
        <w:rPr>
          <w:rFonts w:ascii="Calibri" w:hAnsi="Calibri" w:cs="Calibri"/>
          <w:color w:val="000000"/>
          <w:sz w:val="22"/>
          <w:szCs w:val="22"/>
          <w:lang w:val="en-US" w:eastAsia="en-GB"/>
        </w:rPr>
        <w:t>NIF</w:t>
      </w:r>
      <w:r>
        <w:rPr>
          <w:rFonts w:ascii="Calibri" w:hAnsi="Calibri" w:cs="Calibri"/>
          <w:color w:val="000000"/>
          <w:sz w:val="22"/>
          <w:szCs w:val="22"/>
          <w:lang w:val="en-US" w:eastAsia="en-GB"/>
        </w:rPr>
        <w:t xml:space="preserve"> for any unauthorised or ulterior purpose</w:t>
      </w:r>
    </w:p>
    <w:p w14:paraId="46E3A623"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ArialMT" w:hAnsi="ArialMT" w:cs="ArialMT"/>
          <w:color w:val="000000"/>
          <w:sz w:val="20"/>
          <w:szCs w:val="20"/>
          <w:lang w:val="en-US" w:eastAsia="en-GB"/>
        </w:rPr>
        <w:t xml:space="preserve">- </w:t>
      </w:r>
      <w:r>
        <w:rPr>
          <w:rFonts w:ascii="Calibri" w:hAnsi="Calibri" w:cs="Calibri"/>
          <w:color w:val="000000"/>
          <w:sz w:val="22"/>
          <w:szCs w:val="22"/>
          <w:lang w:val="en-US" w:eastAsia="en-GB"/>
        </w:rPr>
        <w:t>causing damage to the environment.</w:t>
      </w:r>
    </w:p>
    <w:p w14:paraId="22BD5CF7" w14:textId="3F2E551B"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The employee or worker does not have to be able to prove the allegations, but should have a</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reasonable and genuine belief that the information being disclosed is true: some allegations may</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prove to be unfounded, but we would prefer the issue or concern to be raised, rather than run the</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risk of not detecting a problem early on.</w:t>
      </w:r>
    </w:p>
    <w:p w14:paraId="6F83C1DA" w14:textId="77777777" w:rsidR="00D4698D" w:rsidRDefault="00D4698D" w:rsidP="009E32F0">
      <w:pPr>
        <w:autoSpaceDE w:val="0"/>
        <w:autoSpaceDN w:val="0"/>
        <w:adjustRightInd w:val="0"/>
        <w:rPr>
          <w:rFonts w:ascii="Calibri" w:hAnsi="Calibri" w:cs="Calibri"/>
          <w:color w:val="000000"/>
          <w:sz w:val="22"/>
          <w:szCs w:val="22"/>
          <w:lang w:val="en-US" w:eastAsia="en-GB"/>
        </w:rPr>
      </w:pPr>
    </w:p>
    <w:p w14:paraId="439412E6" w14:textId="1BED4264"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If appropriate, he/she should discuss the matter with his/her manager in the first instance. However,</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should he/she prefer (perhaps because the manager is unavailable, or indeed might be the cause of</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the concern), then any of the following, all of whom are designated to deal with such matters, may</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be approached: any manager or the CEO.</w:t>
      </w:r>
    </w:p>
    <w:p w14:paraId="601331E2" w14:textId="66FF724E"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Where requested, we will respect (so far as we can legally) the confidentiality of any whistleblowing</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complaint received, but cannot guarantee that the investigation process will not result in colleagues</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speculating on the identity of the whistleblower. It must be appreciated that it will be easier to</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follow up and to verify complaints if the individual is prepared to give his/her name, and</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unsupported anonymous complaints and allegations are much less powerful and therefore will be</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treated with caution.</w:t>
      </w:r>
    </w:p>
    <w:p w14:paraId="70D112BE" w14:textId="77777777" w:rsidR="00D4698D" w:rsidRDefault="00D4698D" w:rsidP="009E32F0">
      <w:pPr>
        <w:autoSpaceDE w:val="0"/>
        <w:autoSpaceDN w:val="0"/>
        <w:adjustRightInd w:val="0"/>
        <w:rPr>
          <w:rFonts w:ascii="Calibri" w:hAnsi="Calibri" w:cs="Calibri"/>
          <w:color w:val="000000"/>
          <w:sz w:val="22"/>
          <w:szCs w:val="22"/>
          <w:lang w:val="en-US" w:eastAsia="en-GB"/>
        </w:rPr>
      </w:pPr>
    </w:p>
    <w:p w14:paraId="5C15C23D" w14:textId="33310F12"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If the matter requires further investigation, this will be carried out and the individual raising the</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concern will be informed of the outcome of the investigation and what action, if any, has been</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taken. Where such investigation involves outside agencies (</w:t>
      </w:r>
      <w:r w:rsidR="00BC31D5">
        <w:rPr>
          <w:rFonts w:ascii="Calibri" w:hAnsi="Calibri" w:cs="Calibri"/>
          <w:color w:val="000000"/>
          <w:sz w:val="22"/>
          <w:szCs w:val="22"/>
          <w:lang w:val="en-US" w:eastAsia="en-GB"/>
        </w:rPr>
        <w:t>e.g.</w:t>
      </w:r>
      <w:r>
        <w:rPr>
          <w:rFonts w:ascii="Calibri" w:hAnsi="Calibri" w:cs="Calibri"/>
          <w:color w:val="000000"/>
          <w:sz w:val="22"/>
          <w:szCs w:val="22"/>
          <w:lang w:val="en-US" w:eastAsia="en-GB"/>
        </w:rPr>
        <w:t xml:space="preserve"> the police) this may cause some delay</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in the investigation.</w:t>
      </w:r>
    </w:p>
    <w:p w14:paraId="7CF540BE" w14:textId="77777777" w:rsidR="00D4698D" w:rsidRDefault="00D4698D" w:rsidP="009E32F0">
      <w:pPr>
        <w:autoSpaceDE w:val="0"/>
        <w:autoSpaceDN w:val="0"/>
        <w:adjustRightInd w:val="0"/>
        <w:rPr>
          <w:rFonts w:ascii="Calibri" w:hAnsi="Calibri" w:cs="Calibri"/>
          <w:color w:val="000000"/>
          <w:sz w:val="22"/>
          <w:szCs w:val="22"/>
          <w:lang w:val="en-US" w:eastAsia="en-GB"/>
        </w:rPr>
      </w:pPr>
    </w:p>
    <w:p w14:paraId="2DFEA568" w14:textId="0C8CED0C"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If he/she remains unhappy about the speed or conduct of the investigation, or the way in which the</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matter has been resolved, he/she should refer the matter to the </w:t>
      </w:r>
      <w:r w:rsidR="00D4698D">
        <w:rPr>
          <w:rFonts w:ascii="Calibri" w:hAnsi="Calibri" w:cs="Calibri"/>
          <w:color w:val="000000"/>
          <w:sz w:val="22"/>
          <w:szCs w:val="22"/>
          <w:lang w:val="en-US" w:eastAsia="en-GB"/>
        </w:rPr>
        <w:t>MD</w:t>
      </w:r>
      <w:r>
        <w:rPr>
          <w:rFonts w:ascii="Calibri" w:hAnsi="Calibri" w:cs="Calibri"/>
          <w:color w:val="000000"/>
          <w:sz w:val="22"/>
          <w:szCs w:val="22"/>
          <w:lang w:val="en-US" w:eastAsia="en-GB"/>
        </w:rPr>
        <w:t xml:space="preserve"> or a member of the Board.</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Following further investigation of the complaint, the individual will be informed of the result and</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whether any action has been taken.</w:t>
      </w:r>
    </w:p>
    <w:p w14:paraId="0BAEE9B9" w14:textId="77777777" w:rsidR="00D4698D" w:rsidRDefault="00D4698D" w:rsidP="009E32F0">
      <w:pPr>
        <w:autoSpaceDE w:val="0"/>
        <w:autoSpaceDN w:val="0"/>
        <w:adjustRightInd w:val="0"/>
        <w:rPr>
          <w:rFonts w:ascii="Calibri" w:hAnsi="Calibri" w:cs="Calibri"/>
          <w:color w:val="000000"/>
          <w:sz w:val="22"/>
          <w:szCs w:val="22"/>
          <w:lang w:val="en-US" w:eastAsia="en-GB"/>
        </w:rPr>
      </w:pPr>
    </w:p>
    <w:p w14:paraId="116B6F25" w14:textId="73B17D6E"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We undertake that no employee or worker who makes a bona fide report under this procedure will</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be subjected to any detriment as a result, and we will not condone any form of victimisation,</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bullying or other detrimental treatment (</w:t>
      </w:r>
      <w:r w:rsidR="00BC31D5">
        <w:rPr>
          <w:rFonts w:ascii="Calibri" w:hAnsi="Calibri" w:cs="Calibri"/>
          <w:color w:val="000000"/>
          <w:sz w:val="22"/>
          <w:szCs w:val="22"/>
          <w:lang w:val="en-US" w:eastAsia="en-GB"/>
        </w:rPr>
        <w:t>e.g.</w:t>
      </w:r>
      <w:r>
        <w:rPr>
          <w:rFonts w:ascii="Calibri" w:hAnsi="Calibri" w:cs="Calibri"/>
          <w:color w:val="000000"/>
          <w:sz w:val="22"/>
          <w:szCs w:val="22"/>
          <w:lang w:val="en-US" w:eastAsia="en-GB"/>
        </w:rPr>
        <w:t xml:space="preserve"> by co-workers) of anyone who has raised a concern</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under the remit of this policy. If any individual feels that he/she is being subjected to detrimental</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treatment, bullying or harassment by any person within the business (including his/her colleagues</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and co-workers) as a result of his/her decision to invoke this procedure, he/she must inform the </w:t>
      </w:r>
      <w:r w:rsidR="00D4698D">
        <w:rPr>
          <w:rFonts w:ascii="Calibri" w:hAnsi="Calibri" w:cs="Calibri"/>
          <w:color w:val="000000"/>
          <w:sz w:val="22"/>
          <w:szCs w:val="22"/>
          <w:lang w:val="en-US" w:eastAsia="en-GB"/>
        </w:rPr>
        <w:t xml:space="preserve">MD </w:t>
      </w:r>
      <w:r>
        <w:rPr>
          <w:rFonts w:ascii="Calibri" w:hAnsi="Calibri" w:cs="Calibri"/>
          <w:color w:val="000000"/>
          <w:sz w:val="22"/>
          <w:szCs w:val="22"/>
          <w:lang w:val="en-US" w:eastAsia="en-GB"/>
        </w:rPr>
        <w:t>immediately and appropriate action will be taken to protect him/her from any reprisals. Any</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victimisation, bullying or detrimental treatment will be dealt with under our disciplinary procedure.</w:t>
      </w:r>
    </w:p>
    <w:p w14:paraId="5C6A473C" w14:textId="3F1F3991"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lastRenderedPageBreak/>
        <w:t>However, if it should become clear that the procedure has been invoked for malicious reasons or to</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pursue a personal grudge, this will constitute misconduct and will be dealt with through our</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disciplinary procedure.</w:t>
      </w:r>
    </w:p>
    <w:p w14:paraId="23157EAF" w14:textId="77777777" w:rsidR="00D4698D" w:rsidRDefault="00D4698D" w:rsidP="009E32F0">
      <w:pPr>
        <w:autoSpaceDE w:val="0"/>
        <w:autoSpaceDN w:val="0"/>
        <w:adjustRightInd w:val="0"/>
        <w:rPr>
          <w:rFonts w:ascii="Calibri" w:hAnsi="Calibri" w:cs="Calibri"/>
          <w:color w:val="000000"/>
          <w:sz w:val="22"/>
          <w:szCs w:val="22"/>
          <w:lang w:val="en-US" w:eastAsia="en-GB"/>
        </w:rPr>
      </w:pPr>
    </w:p>
    <w:p w14:paraId="743BAEEC" w14:textId="77777777" w:rsidR="009E32F0" w:rsidRPr="003A6C49" w:rsidRDefault="009E32F0" w:rsidP="009E32F0">
      <w:pPr>
        <w:autoSpaceDE w:val="0"/>
        <w:autoSpaceDN w:val="0"/>
        <w:adjustRightInd w:val="0"/>
        <w:rPr>
          <w:rFonts w:ascii="TrebuchetMS" w:hAnsi="TrebuchetMS" w:cs="TrebuchetMS"/>
          <w:color w:val="DB291C"/>
          <w:sz w:val="32"/>
          <w:szCs w:val="32"/>
          <w:lang w:val="en-US" w:eastAsia="en-GB"/>
        </w:rPr>
      </w:pPr>
      <w:r w:rsidRPr="003A6C49">
        <w:rPr>
          <w:rFonts w:ascii="TrebuchetMS" w:hAnsi="TrebuchetMS" w:cs="TrebuchetMS"/>
          <w:color w:val="DB291C"/>
          <w:sz w:val="32"/>
          <w:szCs w:val="32"/>
          <w:lang w:val="en-US" w:eastAsia="en-GB"/>
        </w:rPr>
        <w:t>7. Referral to external bodies</w:t>
      </w:r>
    </w:p>
    <w:p w14:paraId="0CEA7712" w14:textId="371E7523"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We recognise there may be matters that cannot be dealt with internally and external authorities</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(such as the police, the Health and Safety Executive or external auditors) will need to become</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 xml:space="preserve">involved. Where this is </w:t>
      </w:r>
      <w:r w:rsidR="00D4698D">
        <w:rPr>
          <w:rFonts w:ascii="Calibri" w:hAnsi="Calibri" w:cs="Calibri"/>
          <w:color w:val="000000"/>
          <w:sz w:val="22"/>
          <w:szCs w:val="22"/>
          <w:lang w:val="en-US" w:eastAsia="en-GB"/>
        </w:rPr>
        <w:t>necessary,</w:t>
      </w:r>
      <w:r>
        <w:rPr>
          <w:rFonts w:ascii="Calibri" w:hAnsi="Calibri" w:cs="Calibri"/>
          <w:color w:val="000000"/>
          <w:sz w:val="22"/>
          <w:szCs w:val="22"/>
          <w:lang w:val="en-US" w:eastAsia="en-GB"/>
        </w:rPr>
        <w:t xml:space="preserve"> we reserve the right to make such a referral without the</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employee's or worker's consent.</w:t>
      </w:r>
    </w:p>
    <w:p w14:paraId="26808C5E" w14:textId="77777777" w:rsidR="00D4698D" w:rsidRDefault="00D4698D" w:rsidP="009E32F0">
      <w:pPr>
        <w:autoSpaceDE w:val="0"/>
        <w:autoSpaceDN w:val="0"/>
        <w:adjustRightInd w:val="0"/>
        <w:rPr>
          <w:rFonts w:ascii="Calibri" w:hAnsi="Calibri" w:cs="Calibri"/>
          <w:color w:val="000000"/>
          <w:sz w:val="22"/>
          <w:szCs w:val="22"/>
          <w:lang w:val="en-US" w:eastAsia="en-GB"/>
        </w:rPr>
      </w:pPr>
    </w:p>
    <w:p w14:paraId="19E6B70C" w14:textId="77777777" w:rsidR="009E32F0" w:rsidRPr="003A6C49" w:rsidRDefault="009E32F0" w:rsidP="009E32F0">
      <w:pPr>
        <w:autoSpaceDE w:val="0"/>
        <w:autoSpaceDN w:val="0"/>
        <w:adjustRightInd w:val="0"/>
        <w:rPr>
          <w:rFonts w:ascii="TrebuchetMS" w:hAnsi="TrebuchetMS" w:cs="TrebuchetMS"/>
          <w:color w:val="DB291C"/>
          <w:sz w:val="32"/>
          <w:szCs w:val="32"/>
          <w:lang w:val="en-US" w:eastAsia="en-GB"/>
        </w:rPr>
      </w:pPr>
      <w:r w:rsidRPr="003A6C49">
        <w:rPr>
          <w:rFonts w:ascii="TrebuchetMS" w:hAnsi="TrebuchetMS" w:cs="TrebuchetMS"/>
          <w:color w:val="DB291C"/>
          <w:sz w:val="32"/>
          <w:szCs w:val="32"/>
          <w:lang w:val="en-US" w:eastAsia="en-GB"/>
        </w:rPr>
        <w:t>8. Ex-employees and workers</w:t>
      </w:r>
    </w:p>
    <w:p w14:paraId="4309021A" w14:textId="77777777"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Any protected disclosures made by ex-employees or workers after the termination of their</w:t>
      </w:r>
    </w:p>
    <w:p w14:paraId="2F9DB573" w14:textId="196465F0"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employment/contract should also be dealt with under this procedure. In such cases, we normally ask</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that the employee/worker sets out the details of his/her concerns in writing and we will then</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respond in writing, having undertaken such investigations as we deem to be appropriate.</w:t>
      </w:r>
    </w:p>
    <w:p w14:paraId="3BA762EC" w14:textId="77777777" w:rsidR="00D4698D" w:rsidRDefault="00D4698D" w:rsidP="009E32F0">
      <w:pPr>
        <w:autoSpaceDE w:val="0"/>
        <w:autoSpaceDN w:val="0"/>
        <w:adjustRightInd w:val="0"/>
        <w:rPr>
          <w:rFonts w:ascii="Calibri" w:hAnsi="Calibri" w:cs="Calibri"/>
          <w:color w:val="000000"/>
          <w:sz w:val="22"/>
          <w:szCs w:val="22"/>
          <w:lang w:val="en-US" w:eastAsia="en-GB"/>
        </w:rPr>
      </w:pPr>
    </w:p>
    <w:p w14:paraId="5046CC33" w14:textId="77777777" w:rsidR="009E32F0" w:rsidRPr="003A6C49" w:rsidRDefault="009E32F0" w:rsidP="009E32F0">
      <w:pPr>
        <w:autoSpaceDE w:val="0"/>
        <w:autoSpaceDN w:val="0"/>
        <w:adjustRightInd w:val="0"/>
        <w:rPr>
          <w:rFonts w:ascii="TrebuchetMS" w:hAnsi="TrebuchetMS" w:cs="TrebuchetMS"/>
          <w:color w:val="DB291C"/>
          <w:sz w:val="32"/>
          <w:szCs w:val="32"/>
          <w:lang w:val="en-US" w:eastAsia="en-GB"/>
        </w:rPr>
      </w:pPr>
      <w:r w:rsidRPr="003A6C49">
        <w:rPr>
          <w:rFonts w:ascii="TrebuchetMS" w:hAnsi="TrebuchetMS" w:cs="TrebuchetMS"/>
          <w:color w:val="DB291C"/>
          <w:sz w:val="32"/>
          <w:szCs w:val="32"/>
          <w:lang w:val="en-US" w:eastAsia="en-GB"/>
        </w:rPr>
        <w:t>9. Related policies and documents</w:t>
      </w:r>
    </w:p>
    <w:p w14:paraId="7F8C361F" w14:textId="411596C5"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We also have the following related policies and documents: Bullying and harassment policy; data</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protection policy; grievance procedure; disciplinary procedure.</w:t>
      </w:r>
    </w:p>
    <w:p w14:paraId="7445D34A" w14:textId="77777777" w:rsidR="00D4698D" w:rsidRDefault="00D4698D" w:rsidP="009E32F0">
      <w:pPr>
        <w:autoSpaceDE w:val="0"/>
        <w:autoSpaceDN w:val="0"/>
        <w:adjustRightInd w:val="0"/>
        <w:rPr>
          <w:rFonts w:ascii="Calibri" w:hAnsi="Calibri" w:cs="Calibri"/>
          <w:color w:val="000000"/>
          <w:sz w:val="22"/>
          <w:szCs w:val="22"/>
          <w:lang w:val="en-US" w:eastAsia="en-GB"/>
        </w:rPr>
      </w:pPr>
    </w:p>
    <w:p w14:paraId="41055080" w14:textId="77777777" w:rsidR="009E32F0" w:rsidRPr="003A6C49" w:rsidRDefault="009E32F0" w:rsidP="009E32F0">
      <w:pPr>
        <w:autoSpaceDE w:val="0"/>
        <w:autoSpaceDN w:val="0"/>
        <w:adjustRightInd w:val="0"/>
        <w:rPr>
          <w:rFonts w:ascii="TrebuchetMS" w:hAnsi="TrebuchetMS" w:cs="TrebuchetMS"/>
          <w:color w:val="DB291C"/>
          <w:sz w:val="32"/>
          <w:szCs w:val="32"/>
          <w:lang w:val="en-US" w:eastAsia="en-GB"/>
        </w:rPr>
      </w:pPr>
      <w:r w:rsidRPr="003A6C49">
        <w:rPr>
          <w:rFonts w:ascii="TrebuchetMS" w:hAnsi="TrebuchetMS" w:cs="TrebuchetMS"/>
          <w:color w:val="DB291C"/>
          <w:sz w:val="32"/>
          <w:szCs w:val="32"/>
          <w:lang w:val="en-US" w:eastAsia="en-GB"/>
        </w:rPr>
        <w:t>10. Implementation, monitoring and review of this policy</w:t>
      </w:r>
    </w:p>
    <w:p w14:paraId="13367219" w14:textId="3F140AEB" w:rsidR="009E32F0" w:rsidRDefault="009E32F0" w:rsidP="009E32F0">
      <w:pPr>
        <w:autoSpaceDE w:val="0"/>
        <w:autoSpaceDN w:val="0"/>
        <w:adjustRightInd w:val="0"/>
        <w:rPr>
          <w:rFonts w:ascii="Calibri" w:hAnsi="Calibri" w:cs="Calibri"/>
          <w:color w:val="000000"/>
          <w:sz w:val="22"/>
          <w:szCs w:val="22"/>
          <w:lang w:val="en-US" w:eastAsia="en-GB"/>
        </w:rPr>
      </w:pPr>
      <w:r>
        <w:rPr>
          <w:rFonts w:ascii="Calibri" w:hAnsi="Calibri" w:cs="Calibri"/>
          <w:color w:val="000000"/>
          <w:sz w:val="22"/>
          <w:szCs w:val="22"/>
          <w:lang w:val="en-US" w:eastAsia="en-GB"/>
        </w:rPr>
        <w:t>This policy will take effect from 1</w:t>
      </w:r>
      <w:r>
        <w:rPr>
          <w:rFonts w:ascii="Calibri" w:hAnsi="Calibri" w:cs="Calibri"/>
          <w:color w:val="000000"/>
          <w:sz w:val="14"/>
          <w:szCs w:val="14"/>
          <w:lang w:val="en-US" w:eastAsia="en-GB"/>
        </w:rPr>
        <w:t xml:space="preserve">st </w:t>
      </w:r>
      <w:r w:rsidR="006234B7">
        <w:rPr>
          <w:rFonts w:ascii="Calibri" w:hAnsi="Calibri" w:cs="Calibri"/>
          <w:color w:val="000000"/>
          <w:sz w:val="22"/>
          <w:szCs w:val="22"/>
          <w:lang w:val="en-US" w:eastAsia="en-GB"/>
        </w:rPr>
        <w:t>March 2020</w:t>
      </w:r>
      <w:r>
        <w:rPr>
          <w:rFonts w:ascii="Calibri" w:hAnsi="Calibri" w:cs="Calibri"/>
          <w:color w:val="000000"/>
          <w:sz w:val="22"/>
          <w:szCs w:val="22"/>
          <w:lang w:val="en-US" w:eastAsia="en-GB"/>
        </w:rPr>
        <w:t xml:space="preserve">. The </w:t>
      </w:r>
      <w:r w:rsidR="006234B7">
        <w:rPr>
          <w:rFonts w:ascii="Calibri" w:hAnsi="Calibri" w:cs="Calibri"/>
          <w:color w:val="000000"/>
          <w:sz w:val="22"/>
          <w:szCs w:val="22"/>
          <w:lang w:val="en-US" w:eastAsia="en-GB"/>
        </w:rPr>
        <w:t>NIF Board</w:t>
      </w:r>
      <w:r>
        <w:rPr>
          <w:rFonts w:ascii="Calibri" w:hAnsi="Calibri" w:cs="Calibri"/>
          <w:color w:val="000000"/>
          <w:sz w:val="22"/>
          <w:szCs w:val="22"/>
          <w:lang w:val="en-US" w:eastAsia="en-GB"/>
        </w:rPr>
        <w:t xml:space="preserve"> has overall responsibility for implementing</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and monitoring this policy, which will be reviewed on a regular basis following its implementation</w:t>
      </w:r>
      <w:r w:rsidR="00D4698D">
        <w:rPr>
          <w:rFonts w:ascii="Calibri" w:hAnsi="Calibri" w:cs="Calibri"/>
          <w:color w:val="000000"/>
          <w:sz w:val="22"/>
          <w:szCs w:val="22"/>
          <w:lang w:val="en-US" w:eastAsia="en-GB"/>
        </w:rPr>
        <w:t xml:space="preserve"> </w:t>
      </w:r>
      <w:r>
        <w:rPr>
          <w:rFonts w:ascii="Calibri" w:hAnsi="Calibri" w:cs="Calibri"/>
          <w:color w:val="000000"/>
          <w:sz w:val="22"/>
          <w:szCs w:val="22"/>
          <w:lang w:val="en-US" w:eastAsia="en-GB"/>
        </w:rPr>
        <w:t>and may be changed from time to time.</w:t>
      </w:r>
    </w:p>
    <w:p w14:paraId="637795F6" w14:textId="77777777" w:rsidR="00B473E1" w:rsidRDefault="00B473E1" w:rsidP="009E32F0">
      <w:pPr>
        <w:autoSpaceDE w:val="0"/>
        <w:autoSpaceDN w:val="0"/>
        <w:adjustRightInd w:val="0"/>
        <w:rPr>
          <w:rFonts w:ascii="Calibri" w:hAnsi="Calibri" w:cs="Calibri"/>
          <w:color w:val="000000"/>
          <w:sz w:val="22"/>
          <w:szCs w:val="22"/>
          <w:lang w:val="en-US" w:eastAsia="en-GB"/>
        </w:rPr>
      </w:pPr>
    </w:p>
    <w:p w14:paraId="4E2CB352" w14:textId="1661CD81" w:rsidR="00BF6C33" w:rsidRPr="004E7026" w:rsidRDefault="009E32F0" w:rsidP="009E32F0">
      <w:pPr>
        <w:spacing w:line="360" w:lineRule="auto"/>
        <w:jc w:val="both"/>
        <w:rPr>
          <w:rFonts w:ascii="Arial" w:hAnsi="Arial" w:cs="Arial"/>
          <w:sz w:val="22"/>
          <w:szCs w:val="22"/>
        </w:rPr>
      </w:pPr>
      <w:r>
        <w:rPr>
          <w:rFonts w:ascii="Calibri" w:hAnsi="Calibri" w:cs="Calibri"/>
          <w:color w:val="000000"/>
          <w:sz w:val="22"/>
          <w:szCs w:val="22"/>
          <w:lang w:val="en-US" w:eastAsia="en-GB"/>
        </w:rPr>
        <w:t xml:space="preserve">Any queries or comments about this policy should be addressed to </w:t>
      </w:r>
      <w:r w:rsidR="00D4698D">
        <w:rPr>
          <w:rFonts w:ascii="Calibri" w:hAnsi="Calibri" w:cs="Calibri"/>
          <w:color w:val="000000"/>
          <w:sz w:val="22"/>
          <w:szCs w:val="22"/>
          <w:lang w:val="en-US" w:eastAsia="en-GB"/>
        </w:rPr>
        <w:t>MD</w:t>
      </w:r>
      <w:r>
        <w:rPr>
          <w:rFonts w:ascii="Calibri" w:hAnsi="Calibri" w:cs="Calibri"/>
          <w:color w:val="000000"/>
          <w:sz w:val="22"/>
          <w:szCs w:val="22"/>
          <w:lang w:val="en-US" w:eastAsia="en-GB"/>
        </w:rPr>
        <w:t>.</w:t>
      </w:r>
      <w:r w:rsidR="00C252FC" w:rsidRPr="004E7026">
        <w:rPr>
          <w:rFonts w:ascii="Arial" w:hAnsi="Arial" w:cs="Arial"/>
        </w:rPr>
        <w:tab/>
      </w:r>
      <w:r w:rsidR="00C252FC" w:rsidRPr="004E7026">
        <w:rPr>
          <w:rFonts w:ascii="Arial" w:hAnsi="Arial" w:cs="Arial"/>
        </w:rPr>
        <w:tab/>
      </w:r>
      <w:r w:rsidR="00C252FC" w:rsidRPr="004E7026">
        <w:rPr>
          <w:rFonts w:ascii="Arial" w:hAnsi="Arial" w:cs="Arial"/>
        </w:rPr>
        <w:tab/>
      </w:r>
      <w:r w:rsidR="00C252FC" w:rsidRPr="004E7026">
        <w:rPr>
          <w:rFonts w:ascii="Arial" w:hAnsi="Arial" w:cs="Arial"/>
        </w:rPr>
        <w:tab/>
      </w:r>
      <w:r w:rsidR="00C252FC" w:rsidRPr="004E7026">
        <w:rPr>
          <w:rFonts w:ascii="Arial" w:hAnsi="Arial" w:cs="Arial"/>
        </w:rPr>
        <w:tab/>
      </w:r>
      <w:r w:rsidR="00C252FC" w:rsidRPr="004E7026">
        <w:rPr>
          <w:rFonts w:ascii="Arial" w:hAnsi="Arial" w:cs="Arial"/>
        </w:rPr>
        <w:tab/>
      </w:r>
      <w:r w:rsidR="00C252FC" w:rsidRPr="004E7026">
        <w:rPr>
          <w:rFonts w:ascii="Arial" w:hAnsi="Arial" w:cs="Arial"/>
        </w:rPr>
        <w:tab/>
      </w:r>
      <w:r w:rsidR="00C252FC" w:rsidRPr="004E7026">
        <w:rPr>
          <w:rFonts w:ascii="Arial" w:hAnsi="Arial" w:cs="Arial"/>
        </w:rPr>
        <w:tab/>
      </w:r>
    </w:p>
    <w:sectPr w:rsidR="00BF6C33" w:rsidRPr="004E7026">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A4EA7" w14:textId="77777777" w:rsidR="00242A9A" w:rsidRDefault="00242A9A">
      <w:r>
        <w:separator/>
      </w:r>
    </w:p>
  </w:endnote>
  <w:endnote w:type="continuationSeparator" w:id="0">
    <w:p w14:paraId="072B283F" w14:textId="77777777" w:rsidR="00242A9A" w:rsidRDefault="0024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M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B739" w14:textId="77777777" w:rsidR="006D1FDC" w:rsidRDefault="006D1FDC" w:rsidP="006D1FDC">
    <w:pPr>
      <w:pStyle w:val="ListParagraph"/>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478F1" w14:textId="77777777" w:rsidR="00242A9A" w:rsidRDefault="00242A9A">
      <w:r>
        <w:separator/>
      </w:r>
    </w:p>
  </w:footnote>
  <w:footnote w:type="continuationSeparator" w:id="0">
    <w:p w14:paraId="6F0A64A3" w14:textId="77777777" w:rsidR="00242A9A" w:rsidRDefault="00242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6D3F" w14:textId="77777777" w:rsidR="0079741A" w:rsidRDefault="009A2474">
    <w:pPr>
      <w:pStyle w:val="Header"/>
    </w:pPr>
    <w:r>
      <w:rPr>
        <w:noProof/>
        <w:lang w:eastAsia="en-GB"/>
      </w:rPr>
      <w:drawing>
        <wp:anchor distT="0" distB="0" distL="114300" distR="114300" simplePos="0" relativeHeight="251657728" behindDoc="1" locked="0" layoutInCell="1" allowOverlap="1" wp14:anchorId="5DA04FC8" wp14:editId="6A2185A5">
          <wp:simplePos x="0" y="0"/>
          <wp:positionH relativeFrom="column">
            <wp:posOffset>3771900</wp:posOffset>
          </wp:positionH>
          <wp:positionV relativeFrom="paragraph">
            <wp:posOffset>7620</wp:posOffset>
          </wp:positionV>
          <wp:extent cx="1524000" cy="1270000"/>
          <wp:effectExtent l="0" t="0" r="0" b="6350"/>
          <wp:wrapTight wrapText="bothSides">
            <wp:wrapPolygon edited="0">
              <wp:start x="0" y="0"/>
              <wp:lineTo x="0" y="21384"/>
              <wp:lineTo x="21330" y="21384"/>
              <wp:lineTo x="21330" y="0"/>
              <wp:lineTo x="0" y="0"/>
            </wp:wrapPolygon>
          </wp:wrapTight>
          <wp:docPr id="1" name="Picture 1" descr="NorthernIrelaD18bR05cP01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IrelaD18bR05cP01Z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8C30F" w14:textId="77777777" w:rsidR="0079741A" w:rsidRDefault="0079741A">
    <w:pPr>
      <w:pStyle w:val="Header"/>
    </w:pPr>
  </w:p>
  <w:p w14:paraId="078CE714" w14:textId="77777777" w:rsidR="009E32F0" w:rsidRPr="009E32F0" w:rsidRDefault="009E32F0" w:rsidP="009E32F0">
    <w:pPr>
      <w:autoSpaceDE w:val="0"/>
      <w:autoSpaceDN w:val="0"/>
      <w:adjustRightInd w:val="0"/>
      <w:rPr>
        <w:rFonts w:ascii="TrebuchetMS" w:hAnsi="TrebuchetMS" w:cs="TrebuchetMS"/>
        <w:color w:val="FF0000"/>
        <w:sz w:val="52"/>
        <w:szCs w:val="52"/>
        <w:lang w:val="en-US" w:eastAsia="en-GB"/>
      </w:rPr>
    </w:pPr>
    <w:r w:rsidRPr="009E32F0">
      <w:rPr>
        <w:rFonts w:ascii="TrebuchetMS" w:hAnsi="TrebuchetMS" w:cs="TrebuchetMS"/>
        <w:color w:val="FF0000"/>
        <w:sz w:val="52"/>
        <w:szCs w:val="52"/>
        <w:lang w:val="en-US" w:eastAsia="en-GB"/>
      </w:rPr>
      <w:t>Whistleblowing policy</w:t>
    </w:r>
  </w:p>
  <w:p w14:paraId="2EEFE0A1" w14:textId="77777777" w:rsidR="0079741A" w:rsidRDefault="0079741A">
    <w:pPr>
      <w:pStyle w:val="Header"/>
    </w:pPr>
  </w:p>
  <w:p w14:paraId="43895395" w14:textId="77777777" w:rsidR="0079741A" w:rsidRDefault="0079741A">
    <w:pPr>
      <w:pStyle w:val="Header"/>
    </w:pPr>
  </w:p>
  <w:p w14:paraId="065865D5" w14:textId="77777777" w:rsidR="0079741A" w:rsidRDefault="0079741A">
    <w:pPr>
      <w:pStyle w:val="Header"/>
    </w:pPr>
  </w:p>
  <w:p w14:paraId="084742AC" w14:textId="77777777" w:rsidR="0079741A" w:rsidRDefault="0079741A">
    <w:pPr>
      <w:pStyle w:val="Header"/>
    </w:pPr>
  </w:p>
  <w:p w14:paraId="30D56CFE" w14:textId="77777777" w:rsidR="0079741A" w:rsidRPr="008D56F9" w:rsidRDefault="0079741A" w:rsidP="008D56F9">
    <w:pPr>
      <w:pStyle w:val="Header"/>
      <w:ind w:left="2327"/>
      <w:rPr>
        <w:rFonts w:ascii="Arial" w:hAnsi="Arial" w:cs="Arial"/>
        <w:color w:val="003300"/>
        <w:sz w:val="22"/>
        <w:szCs w:val="22"/>
        <w:lang w:val="fr-FR"/>
      </w:rPr>
    </w:pPr>
    <w:r>
      <w:t xml:space="preserve">                                                     </w:t>
    </w:r>
  </w:p>
  <w:p w14:paraId="06FEBF32" w14:textId="13E8772D" w:rsidR="0079741A" w:rsidRPr="008D56F9" w:rsidRDefault="0079741A" w:rsidP="009E32F0">
    <w:pPr>
      <w:pStyle w:val="Header"/>
      <w:rPr>
        <w:lang w:val="fr-FR"/>
      </w:rPr>
    </w:pPr>
    <w:r w:rsidRPr="008D56F9">
      <w:rPr>
        <w:rFonts w:ascii="Arial" w:hAnsi="Arial" w:cs="Arial"/>
        <w:color w:val="003300"/>
        <w:szCs w:val="20"/>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2FC1"/>
    <w:multiLevelType w:val="hybridMultilevel"/>
    <w:tmpl w:val="8A4AA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60685"/>
    <w:multiLevelType w:val="hybridMultilevel"/>
    <w:tmpl w:val="60004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CD237E"/>
    <w:multiLevelType w:val="multilevel"/>
    <w:tmpl w:val="B53C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F5726"/>
    <w:multiLevelType w:val="hybridMultilevel"/>
    <w:tmpl w:val="B4BE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3F"/>
    <w:rsid w:val="00014571"/>
    <w:rsid w:val="00040950"/>
    <w:rsid w:val="00042445"/>
    <w:rsid w:val="0005554E"/>
    <w:rsid w:val="00067FB2"/>
    <w:rsid w:val="00082DFD"/>
    <w:rsid w:val="0009074A"/>
    <w:rsid w:val="000E7408"/>
    <w:rsid w:val="00136963"/>
    <w:rsid w:val="00156F85"/>
    <w:rsid w:val="001C44F3"/>
    <w:rsid w:val="001E0BB2"/>
    <w:rsid w:val="0020093F"/>
    <w:rsid w:val="00242A9A"/>
    <w:rsid w:val="00275132"/>
    <w:rsid w:val="002E4EF6"/>
    <w:rsid w:val="002F210F"/>
    <w:rsid w:val="00323F7C"/>
    <w:rsid w:val="003914A4"/>
    <w:rsid w:val="00392C64"/>
    <w:rsid w:val="003A6C49"/>
    <w:rsid w:val="003B1107"/>
    <w:rsid w:val="00473CB3"/>
    <w:rsid w:val="00483649"/>
    <w:rsid w:val="004C25D8"/>
    <w:rsid w:val="004E7026"/>
    <w:rsid w:val="004F04AD"/>
    <w:rsid w:val="005767DA"/>
    <w:rsid w:val="00587531"/>
    <w:rsid w:val="005D46E3"/>
    <w:rsid w:val="005F5FBA"/>
    <w:rsid w:val="00612DE0"/>
    <w:rsid w:val="00617A7E"/>
    <w:rsid w:val="006234B7"/>
    <w:rsid w:val="006761E2"/>
    <w:rsid w:val="006B41A2"/>
    <w:rsid w:val="006C2277"/>
    <w:rsid w:val="006D1FDC"/>
    <w:rsid w:val="006E4044"/>
    <w:rsid w:val="006F2B88"/>
    <w:rsid w:val="006F33DE"/>
    <w:rsid w:val="0073085E"/>
    <w:rsid w:val="00740721"/>
    <w:rsid w:val="00763990"/>
    <w:rsid w:val="00776B70"/>
    <w:rsid w:val="0079741A"/>
    <w:rsid w:val="007B6259"/>
    <w:rsid w:val="007B6960"/>
    <w:rsid w:val="007E690F"/>
    <w:rsid w:val="00812A87"/>
    <w:rsid w:val="008C0700"/>
    <w:rsid w:val="008D56F9"/>
    <w:rsid w:val="00906CAD"/>
    <w:rsid w:val="00933A97"/>
    <w:rsid w:val="009966CD"/>
    <w:rsid w:val="009A2474"/>
    <w:rsid w:val="009D71CB"/>
    <w:rsid w:val="009E32F0"/>
    <w:rsid w:val="00A67034"/>
    <w:rsid w:val="00AC54DC"/>
    <w:rsid w:val="00AD7088"/>
    <w:rsid w:val="00B473E1"/>
    <w:rsid w:val="00B87421"/>
    <w:rsid w:val="00BB4393"/>
    <w:rsid w:val="00BC31D5"/>
    <w:rsid w:val="00BF6C33"/>
    <w:rsid w:val="00C252FC"/>
    <w:rsid w:val="00C377CF"/>
    <w:rsid w:val="00C80A9B"/>
    <w:rsid w:val="00CA6704"/>
    <w:rsid w:val="00CD2051"/>
    <w:rsid w:val="00CD253B"/>
    <w:rsid w:val="00CE6655"/>
    <w:rsid w:val="00D1652D"/>
    <w:rsid w:val="00D4698D"/>
    <w:rsid w:val="00E3798A"/>
    <w:rsid w:val="00E93D98"/>
    <w:rsid w:val="00EE6EA7"/>
    <w:rsid w:val="00F61AF2"/>
    <w:rsid w:val="00F748C3"/>
    <w:rsid w:val="00FC3DC6"/>
    <w:rsid w:val="00FD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2F45E"/>
  <w15:docId w15:val="{9D57DA00-04D8-4157-B221-A7E3F7F2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8D56F9"/>
    <w:pPr>
      <w:tabs>
        <w:tab w:val="center" w:pos="4153"/>
        <w:tab w:val="right" w:pos="8306"/>
      </w:tabs>
    </w:pPr>
  </w:style>
  <w:style w:type="paragraph" w:styleId="Footer">
    <w:name w:val="footer"/>
    <w:basedOn w:val="Normal"/>
    <w:rsid w:val="008D56F9"/>
    <w:pPr>
      <w:tabs>
        <w:tab w:val="center" w:pos="4153"/>
        <w:tab w:val="right" w:pos="8306"/>
      </w:tabs>
    </w:pPr>
  </w:style>
  <w:style w:type="paragraph" w:styleId="ListParagraph">
    <w:name w:val="List Paragraph"/>
    <w:basedOn w:val="Normal"/>
    <w:uiPriority w:val="34"/>
    <w:qFormat/>
    <w:rsid w:val="006D1FDC"/>
    <w:pPr>
      <w:ind w:left="720"/>
    </w:pPr>
    <w:rPr>
      <w:rFonts w:ascii="Calibri" w:eastAsia="Calibri" w:hAnsi="Calibri" w:cs="Calibri"/>
      <w:sz w:val="22"/>
      <w:szCs w:val="22"/>
      <w:lang w:eastAsia="en-GB"/>
    </w:rPr>
  </w:style>
  <w:style w:type="paragraph" w:styleId="PlainText">
    <w:name w:val="Plain Text"/>
    <w:basedOn w:val="Normal"/>
    <w:link w:val="PlainTextChar"/>
    <w:uiPriority w:val="99"/>
    <w:unhideWhenUsed/>
    <w:rsid w:val="00C80A9B"/>
    <w:rPr>
      <w:rFonts w:ascii="Consolas" w:eastAsia="Calibri" w:hAnsi="Consolas"/>
      <w:sz w:val="21"/>
      <w:szCs w:val="21"/>
      <w:lang w:val="en-US"/>
    </w:rPr>
  </w:style>
  <w:style w:type="character" w:customStyle="1" w:styleId="PlainTextChar">
    <w:name w:val="Plain Text Char"/>
    <w:link w:val="PlainText"/>
    <w:uiPriority w:val="99"/>
    <w:rsid w:val="00C80A9B"/>
    <w:rPr>
      <w:rFonts w:ascii="Consolas" w:eastAsia="Calibri" w:hAnsi="Consolas" w:cs="Times New Roman"/>
      <w:sz w:val="21"/>
      <w:szCs w:val="21"/>
    </w:rPr>
  </w:style>
  <w:style w:type="paragraph" w:styleId="BalloonText">
    <w:name w:val="Balloon Text"/>
    <w:basedOn w:val="Normal"/>
    <w:link w:val="BalloonTextChar"/>
    <w:rsid w:val="001C44F3"/>
    <w:rPr>
      <w:rFonts w:ascii="Tahoma" w:hAnsi="Tahoma" w:cs="Tahoma"/>
      <w:sz w:val="16"/>
      <w:szCs w:val="16"/>
    </w:rPr>
  </w:style>
  <w:style w:type="character" w:customStyle="1" w:styleId="BalloonTextChar">
    <w:name w:val="Balloon Text Char"/>
    <w:basedOn w:val="DefaultParagraphFont"/>
    <w:link w:val="BalloonText"/>
    <w:rsid w:val="001C44F3"/>
    <w:rPr>
      <w:rFonts w:ascii="Tahoma" w:hAnsi="Tahoma" w:cs="Tahoma"/>
      <w:sz w:val="16"/>
      <w:szCs w:val="16"/>
      <w:lang w:eastAsia="en-US"/>
    </w:rPr>
  </w:style>
  <w:style w:type="paragraph" w:customStyle="1" w:styleId="Default">
    <w:name w:val="Default"/>
    <w:rsid w:val="001E0BB2"/>
    <w:pPr>
      <w:autoSpaceDE w:val="0"/>
      <w:autoSpaceDN w:val="0"/>
      <w:adjustRightInd w:val="0"/>
    </w:pPr>
    <w:rPr>
      <w:rFonts w:ascii="Verdana" w:hAnsi="Verdana" w:cs="Verdana"/>
      <w:color w:val="000000"/>
      <w:sz w:val="24"/>
      <w:szCs w:val="24"/>
      <w:lang w:val="en-US"/>
    </w:rPr>
  </w:style>
  <w:style w:type="character" w:styleId="UnresolvedMention">
    <w:name w:val="Unresolved Mention"/>
    <w:basedOn w:val="DefaultParagraphFont"/>
    <w:uiPriority w:val="99"/>
    <w:semiHidden/>
    <w:unhideWhenUsed/>
    <w:rsid w:val="00F61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8766">
      <w:bodyDiv w:val="1"/>
      <w:marLeft w:val="0"/>
      <w:marRight w:val="0"/>
      <w:marTop w:val="0"/>
      <w:marBottom w:val="0"/>
      <w:divBdr>
        <w:top w:val="none" w:sz="0" w:space="0" w:color="auto"/>
        <w:left w:val="none" w:sz="0" w:space="0" w:color="auto"/>
        <w:bottom w:val="none" w:sz="0" w:space="0" w:color="auto"/>
        <w:right w:val="none" w:sz="0" w:space="0" w:color="auto"/>
      </w:divBdr>
    </w:div>
    <w:div w:id="315719579">
      <w:bodyDiv w:val="1"/>
      <w:marLeft w:val="0"/>
      <w:marRight w:val="0"/>
      <w:marTop w:val="0"/>
      <w:marBottom w:val="0"/>
      <w:divBdr>
        <w:top w:val="none" w:sz="0" w:space="0" w:color="auto"/>
        <w:left w:val="none" w:sz="0" w:space="0" w:color="auto"/>
        <w:bottom w:val="none" w:sz="0" w:space="0" w:color="auto"/>
        <w:right w:val="none" w:sz="0" w:space="0" w:color="auto"/>
      </w:divBdr>
      <w:divsChild>
        <w:div w:id="588272486">
          <w:marLeft w:val="0"/>
          <w:marRight w:val="0"/>
          <w:marTop w:val="0"/>
          <w:marBottom w:val="0"/>
          <w:divBdr>
            <w:top w:val="none" w:sz="0" w:space="0" w:color="auto"/>
            <w:left w:val="none" w:sz="0" w:space="0" w:color="auto"/>
            <w:bottom w:val="none" w:sz="0" w:space="0" w:color="auto"/>
            <w:right w:val="none" w:sz="0" w:space="0" w:color="auto"/>
          </w:divBdr>
        </w:div>
      </w:divsChild>
    </w:div>
    <w:div w:id="598148792">
      <w:bodyDiv w:val="1"/>
      <w:marLeft w:val="0"/>
      <w:marRight w:val="0"/>
      <w:marTop w:val="0"/>
      <w:marBottom w:val="0"/>
      <w:divBdr>
        <w:top w:val="none" w:sz="0" w:space="0" w:color="auto"/>
        <w:left w:val="none" w:sz="0" w:space="0" w:color="auto"/>
        <w:bottom w:val="none" w:sz="0" w:space="0" w:color="auto"/>
        <w:right w:val="none" w:sz="0" w:space="0" w:color="auto"/>
      </w:divBdr>
    </w:div>
    <w:div w:id="1366054180">
      <w:bodyDiv w:val="1"/>
      <w:marLeft w:val="0"/>
      <w:marRight w:val="0"/>
      <w:marTop w:val="0"/>
      <w:marBottom w:val="0"/>
      <w:divBdr>
        <w:top w:val="none" w:sz="0" w:space="0" w:color="auto"/>
        <w:left w:val="none" w:sz="0" w:space="0" w:color="auto"/>
        <w:bottom w:val="none" w:sz="0" w:space="0" w:color="auto"/>
        <w:right w:val="none" w:sz="0" w:space="0" w:color="auto"/>
      </w:divBdr>
    </w:div>
    <w:div w:id="1461924056">
      <w:bodyDiv w:val="1"/>
      <w:marLeft w:val="0"/>
      <w:marRight w:val="0"/>
      <w:marTop w:val="0"/>
      <w:marBottom w:val="0"/>
      <w:divBdr>
        <w:top w:val="none" w:sz="0" w:space="0" w:color="auto"/>
        <w:left w:val="none" w:sz="0" w:space="0" w:color="auto"/>
        <w:bottom w:val="none" w:sz="0" w:space="0" w:color="auto"/>
        <w:right w:val="none" w:sz="0" w:space="0" w:color="auto"/>
      </w:divBdr>
    </w:div>
    <w:div w:id="19208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articles/blowing-whistle-workplace-wrongdo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1CAE8-F98A-4720-9C70-2E838EBD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Ulster</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Gill</dc:creator>
  <cp:lastModifiedBy>David Connery</cp:lastModifiedBy>
  <cp:revision>8</cp:revision>
  <cp:lastPrinted>2018-06-20T18:07:00Z</cp:lastPrinted>
  <dcterms:created xsi:type="dcterms:W3CDTF">2020-02-08T16:25:00Z</dcterms:created>
  <dcterms:modified xsi:type="dcterms:W3CDTF">2020-05-01T10:11:00Z</dcterms:modified>
</cp:coreProperties>
</file>